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0" w:after="0"/>
        <w:jc w:val="center"/>
        <w:rPr/>
      </w:pPr>
      <w:r>
        <w:rPr/>
        <w:t>June __, 2000</w:t>
      </w:r>
    </w:p>
    <w:p>
      <w:pPr>
        <w:pStyle w:val="Normal12Before"/>
        <w:spacing w:before="600" w:after="0"/>
        <w:rPr/>
      </w:pPr>
      <w:r>
        <w:rPr/>
      </w:r>
    </w:p>
    <w:p>
      <w:pPr>
        <w:pStyle w:val="Normal12Before"/>
        <w:spacing w:before="600" w:after="0"/>
        <w:rPr/>
      </w:pPr>
      <w:r>
        <w:rPr/>
      </w:r>
    </w:p>
    <w:p>
      <w:pPr>
        <w:pStyle w:val="Normal12Before"/>
        <w:spacing w:before="600" w:after="0"/>
        <w:rPr/>
      </w:pPr>
      <w:r>
        <w:rPr/>
        <w:t>Enron Corp.</w:t>
      </w:r>
    </w:p>
    <w:p>
      <w:pPr>
        <w:pStyle w:val="Normal12Before"/>
        <w:spacing w:before="0" w:after="0"/>
        <w:rPr/>
      </w:pPr>
      <w:r>
        <w:rPr/>
        <w:t>1400 Smith Street</w:t>
      </w:r>
    </w:p>
    <w:p>
      <w:pPr>
        <w:pStyle w:val="Normal12Before"/>
        <w:spacing w:before="0" w:after="0"/>
        <w:rPr/>
      </w:pPr>
      <w:r>
        <w:rPr/>
        <w:t>Houston, Texas 77002-7369</w:t>
      </w:r>
    </w:p>
    <w:p>
      <w:pPr>
        <w:pStyle w:val="Normal12Before"/>
        <w:rPr/>
      </w:pPr>
      <w:r>
        <w:rPr/>
        <w:t>Attention:  ________</w:t>
      </w:r>
    </w:p>
    <w:p>
      <w:pPr>
        <w:pStyle w:val="Normal12Before"/>
        <w:ind w:hanging="3600" w:start="3600" w:end="0"/>
        <w:rPr/>
      </w:pPr>
      <w:r>
        <w:rPr/>
        <w:t>Facsimile:  ________</w:t>
        <w:tab/>
        <w:t>Our Reference:  Enron Call Option</w:t>
      </w:r>
    </w:p>
    <w:p>
      <w:pPr>
        <w:pStyle w:val="Normal12Before"/>
        <w:spacing w:before="480" w:after="240"/>
        <w:rPr>
          <w:b/>
        </w:rPr>
      </w:pPr>
      <w:r>
        <w:rPr>
          <w:b/>
        </w:rPr>
        <w:t>TRANSACTION (Option 2 - Company Call Option with UBS)</w:t>
      </w:r>
    </w:p>
    <w:p>
      <w:pPr>
        <w:pStyle w:val="BodyText"/>
        <w:jc w:val="both"/>
        <w:rPr/>
      </w:pPr>
      <w:r>
        <w:rPr/>
        <w:t>The purpose of this letter agreement is to confirm the terms and conditions of the Transaction entered into between UBS AG, London Branch (“UBS”) and Enron Corp. (“Counterparty”) on the Trade Date specified below (the “Transaction”). This letter agreement constitutes a “Confirmation” as referred to in the Master Agreement specified below.</w:t>
      </w:r>
    </w:p>
    <w:p>
      <w:pPr>
        <w:pStyle w:val="BodyText"/>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jc w:val="both"/>
        <w:rPr/>
      </w:pPr>
      <w:r>
        <w:rPr/>
        <w:t>This Confirmation constitutes a “Confirmation” as referred to in, and supplements, forms a part of and is subject to, the ISDA Master Agreement dated as of December 9, 1997, as amended and supplemented from time to time (the “Master Agreement”), between Counterparty and UBS (as successor to Swiss Bank Corporation). All provisions contained in the Master Agreement govern this Confirmation except as expressly modified below.</w:t>
      </w:r>
    </w:p>
    <w:p>
      <w:pPr>
        <w:pStyle w:val="BodyText"/>
        <w:jc w:val="both"/>
        <w:rPr/>
      </w:pPr>
      <w:r>
        <w:rPr/>
        <w:t>The Transaction constitutes a part of a structured transaction involving issuance of the Bonds (hereinafter defined). UBS and Counterparty each acknowledge and agree that in such context it has received good and valuable consideration for its obligations in connection with the Transaction.</w:t>
      </w:r>
    </w:p>
    <w:p>
      <w:pPr>
        <w:pStyle w:val="BodyText"/>
        <w:jc w:val="both"/>
        <w:rPr/>
      </w:pPr>
      <w:r>
        <w:rPr/>
        <w:t>The terms of the Transaction to which this Confirmation relates are as follows:</w:t>
      </w:r>
    </w:p>
    <w:p>
      <w:pPr>
        <w:pStyle w:val="Normal12Before"/>
        <w:jc w:val="both"/>
        <w:rPr>
          <w:b/>
        </w:rPr>
      </w:pPr>
      <w:r>
        <w:rPr>
          <w:b/>
        </w:rPr>
        <w:t>1.</w:t>
        <w:tab/>
        <w:t>General Terms</w:t>
      </w:r>
    </w:p>
    <w:p>
      <w:pPr>
        <w:pStyle w:val="BodyTextIndent2"/>
        <w:spacing w:before="240" w:after="0"/>
        <w:ind w:hanging="2880" w:start="3600" w:end="0"/>
        <w:jc w:val="both"/>
        <w:rPr/>
      </w:pPr>
      <w:r>
        <w:rPr/>
        <w:t>Trade Date:</w:t>
        <w:tab/>
        <w:t>June __, 2000</w:t>
      </w:r>
    </w:p>
    <w:p>
      <w:pPr>
        <w:pStyle w:val="BodyTextIndent2"/>
        <w:spacing w:before="240" w:after="0"/>
        <w:ind w:hanging="2880" w:start="3600" w:end="0"/>
        <w:jc w:val="both"/>
        <w:rPr/>
      </w:pPr>
      <w:r>
        <w:rPr/>
        <w:t>Option Style:</w:t>
        <w:tab/>
        <w:t>American</w:t>
      </w:r>
    </w:p>
    <w:p>
      <w:pPr>
        <w:pStyle w:val="BodyTextIndent2"/>
        <w:spacing w:before="240" w:after="0"/>
        <w:ind w:hanging="2880" w:start="3600" w:end="0"/>
        <w:jc w:val="both"/>
        <w:rPr/>
      </w:pPr>
      <w:r>
        <w:rPr/>
        <w:t>Option Type:</w:t>
        <w:tab/>
        <w:t>Call</w:t>
      </w:r>
    </w:p>
    <w:p>
      <w:pPr>
        <w:pStyle w:val="BodyTextIndent2"/>
        <w:spacing w:before="240" w:after="0"/>
        <w:ind w:hanging="2880" w:start="3600" w:end="0"/>
        <w:jc w:val="both"/>
        <w:rPr/>
      </w:pPr>
      <w:r>
        <w:rPr/>
        <w:t>Seller:</w:t>
        <w:tab/>
        <w:t>UBS</w:t>
      </w:r>
    </w:p>
    <w:p>
      <w:pPr>
        <w:pStyle w:val="BodyTextIndent2"/>
        <w:spacing w:before="240" w:after="0"/>
        <w:ind w:hanging="2880" w:start="3600" w:end="0"/>
        <w:jc w:val="both"/>
        <w:rPr/>
      </w:pPr>
      <w:r>
        <w:rPr/>
        <w:t>Buyer:</w:t>
        <w:tab/>
        <w:t>Counterparty</w:t>
      </w:r>
    </w:p>
    <w:p>
      <w:pPr>
        <w:pStyle w:val="BodyTextIndent2"/>
        <w:spacing w:before="240" w:after="0"/>
        <w:ind w:hanging="2880" w:start="3600" w:end="0"/>
        <w:jc w:val="both"/>
        <w:rPr/>
      </w:pPr>
      <w:r>
        <w:rPr/>
        <w:t>Indenture:</w:t>
        <w:tab/>
        <w:t>Indenture, dated as of November 1, 1985, as supplemented from time to time, between Counterparty (formerly InterNorth, Inc.) and The Bank of New York (as successor to Harris Trust and Savings Bank), as Trustee</w:t>
      </w:r>
    </w:p>
    <w:p>
      <w:pPr>
        <w:pStyle w:val="BodyTextIndent2"/>
        <w:spacing w:before="240" w:after="0"/>
        <w:ind w:hanging="2880" w:start="3600" w:end="0"/>
        <w:jc w:val="both"/>
        <w:rPr/>
      </w:pPr>
      <w:r>
        <w:rPr/>
        <w:t>Bonds:</w:t>
        <w:tab/>
        <w:t>£_____ aggregate principal amount of Counterparty’s Reset Senior Notes Due June 15, 2028 issued under the Indenture</w:t>
      </w:r>
    </w:p>
    <w:p>
      <w:pPr>
        <w:pStyle w:val="StayWithBTI2"/>
        <w:spacing w:before="240" w:after="0"/>
        <w:ind w:hanging="2880" w:start="3600" w:end="0"/>
        <w:jc w:val="both"/>
        <w:rPr/>
      </w:pPr>
      <w:r>
        <w:rPr/>
        <w:t>Aggregate Face</w:t>
      </w:r>
    </w:p>
    <w:p>
      <w:pPr>
        <w:pStyle w:val="BodyTextIndent2"/>
        <w:spacing w:before="0" w:after="0"/>
        <w:ind w:hanging="2880" w:start="3600" w:end="0"/>
        <w:jc w:val="both"/>
        <w:rPr/>
      </w:pPr>
      <w:r>
        <w:rPr/>
        <w:t>Amount of Bonds:</w:t>
        <w:tab/>
        <w:t>£______</w:t>
      </w:r>
    </w:p>
    <w:p>
      <w:pPr>
        <w:pStyle w:val="BodyTextIndent2"/>
        <w:spacing w:before="240" w:after="0"/>
        <w:ind w:hanging="2880" w:start="3600" w:end="0"/>
        <w:jc w:val="both"/>
        <w:rPr/>
      </w:pPr>
      <w:r>
        <w:rPr/>
        <w:t>Partial Exercise:</w:t>
        <w:tab/>
        <w:t>Inapplicable</w:t>
      </w:r>
    </w:p>
    <w:p>
      <w:pPr>
        <w:pStyle w:val="BodyTextIndent2"/>
        <w:spacing w:before="240" w:after="0"/>
        <w:ind w:hanging="2880" w:start="3600" w:end="0"/>
        <w:jc w:val="both"/>
        <w:rPr/>
      </w:pPr>
      <w:r>
        <w:rPr/>
        <w:t>Settlement Amount:</w:t>
        <w:tab/>
        <w:t>The excess, if any, of (i) the sum of the present values of the remaining scheduled payments of principal of and interest on the Bonds (assuming that they remained outstanding through to June 15, 2028 and bore interest at a per annum rate of ___%) discounted (for purposes of determining such present values) to the Settlement Date on a semi-annual basis (computed on the basis of a 360-day year, consisting of twelve 30-day months) at a discount rate equal to the Reference Gilt Rate over (ii) the Aggregate Face Amount of Bonds. As soon as reasonably practicable after calculating the Settlement Amount and no later than 4:00 p.m., London time, on the Determination Date, the Calculation Agent will provide written notice thereof to the Seller and the Buyer</w:t>
      </w:r>
    </w:p>
    <w:p>
      <w:pPr>
        <w:pStyle w:val="BodyTextIndent2"/>
        <w:spacing w:before="240" w:after="0"/>
        <w:ind w:hanging="2880" w:start="3600" w:end="0"/>
        <w:jc w:val="both"/>
        <w:rPr/>
      </w:pPr>
      <w:r>
        <w:rPr/>
        <w:t>Determination Date:</w:t>
        <w:tab/>
        <w:t>The fifth Business Day prior to the Settlement Date</w:t>
      </w:r>
    </w:p>
    <w:p>
      <w:pPr>
        <w:pStyle w:val="BodyTextIndent2"/>
        <w:spacing w:before="240" w:after="0"/>
        <w:ind w:hanging="2880" w:start="3600" w:end="0"/>
        <w:jc w:val="both"/>
        <w:rPr/>
      </w:pPr>
      <w:r>
        <w:rPr/>
        <w:t>Reference Gilt Rate:</w:t>
        <w:tab/>
        <w:t>The average of the Reference Gilt Dealer Quotations (as defined below), after excluding the highest and the lowest of the Reference Gilt Dealer Quotations (unless there shall be fewer than four and more than one Reference Gilt Dealer Quotations, in which case without such exclusion, or unless there shall be one Reference Gilt Dealer Quotation, in which case the Reference Gilt Rate means such Reference Gilt Dealer Quotation), as provided at 10:00 a.m., London time, on the Determination Date;</w:t>
      </w:r>
      <w:r>
        <w:rPr>
          <w:i/>
        </w:rPr>
        <w:t xml:space="preserve"> provided, however</w:t>
      </w:r>
      <w:r>
        <w:rPr/>
        <w:t>, that, if there are no Reference Gilt Dealer Quotations, the Reference Gilt Rate means the offer side yield to maturity (based on the consortium yield convention as per Bloomberg) of the Primary Reference Gilt Issue most recently quoted in writing to the Calculation Agent</w:t>
      </w:r>
    </w:p>
    <w:p>
      <w:pPr>
        <w:pStyle w:val="BodyTextIndent2"/>
        <w:keepNext w:val="true"/>
        <w:spacing w:before="240" w:after="0"/>
        <w:ind w:hanging="2880" w:start="3600" w:end="0"/>
        <w:jc w:val="both"/>
        <w:rPr/>
      </w:pPr>
      <w:r>
        <w:rPr/>
        <w:t>Reference Gilt</w:t>
      </w:r>
    </w:p>
    <w:p>
      <w:pPr>
        <w:pStyle w:val="BodyTextIndent2"/>
        <w:spacing w:before="0" w:after="0"/>
        <w:ind w:hanging="2880" w:start="3600" w:end="0"/>
        <w:jc w:val="both"/>
        <w:rPr/>
      </w:pPr>
      <w:r>
        <w:rPr/>
        <w:t>Dealer Quotations:</w:t>
        <w:tab/>
        <w:t>The offer side yield to maturity (based on the consortium yield convention as per Bloomberg) of the Primary Reference Gilt Issue quoted in writing by each of the Reference Gilt Dealers to the Calculation Agent at 10:00 a.m., London Time, on the Determination Date</w:t>
      </w:r>
    </w:p>
    <w:p>
      <w:pPr>
        <w:pStyle w:val="BodyTextIndent2"/>
        <w:spacing w:before="0" w:after="0"/>
        <w:ind w:hanging="2880" w:start="3600" w:end="0"/>
        <w:jc w:val="both"/>
        <w:rPr/>
      </w:pPr>
      <w:r>
        <w:rPr/>
      </w:r>
    </w:p>
    <w:p>
      <w:pPr>
        <w:pStyle w:val="BodyTextIndent2"/>
        <w:spacing w:before="0" w:after="0"/>
        <w:ind w:hanging="2880" w:start="3600" w:end="0"/>
        <w:jc w:val="both"/>
        <w:rPr/>
      </w:pPr>
      <w:r>
        <w:rPr/>
        <w:t>Primary Reference</w:t>
      </w:r>
    </w:p>
    <w:p>
      <w:pPr>
        <w:pStyle w:val="BodyTextIndent2"/>
        <w:spacing w:before="0" w:after="0"/>
        <w:ind w:hanging="2880" w:start="3600" w:end="0"/>
        <w:jc w:val="both"/>
        <w:rPr/>
      </w:pPr>
      <w:r>
        <w:rPr/>
        <w:t>Gilt Issue:</w:t>
        <w:tab/>
        <w:t>The UK Gilt 6% due December 7, 2028 or, if in the opinion of the Calculation Agent acting in good faith a material and permanent retirement of such UK Gilt issue  (including, for this purpose, a reduction in the aggregate outstanding principal amount thereof to below £ Sterling 2,000,000,000) shall have occurred or is expected to occur prior to the Determination Date as a result of any action, including an unconditional tender offer or debt exchange offer, promulgated by the Bank of England or any agent acting on its behalf, then a replacement UK Gilt issue, which shall be designated (in consultation with the Buyer) by the Calculation Agent at the time of such retirement and comprised of another UK Gilt issue or weighted average of two or more UK Gilt issues adjusted by a fixed margin as appropriate, shall be used by the Calculation Agent in lieu of such UK Gilt issue, such that the theoretical value of the right of the Seller to receive the Settlement Amount is preserved</w:t>
      </w:r>
    </w:p>
    <w:p>
      <w:pPr>
        <w:pStyle w:val="BodyTextIndent2"/>
        <w:spacing w:before="240" w:after="0"/>
        <w:ind w:hanging="2880" w:start="3600" w:end="0"/>
        <w:jc w:val="both"/>
        <w:rPr/>
      </w:pPr>
      <w:r>
        <w:rPr/>
        <w:t>Reference Gilt Dealer:</w:t>
        <w:tab/>
        <w:t>Up to seven dealers selected (in consultation with the Buyer) by the Calculation Agent, one of which shall be the Calculation Agent and none of which shall be an affiliate of the Buyer</w:t>
      </w:r>
    </w:p>
    <w:p>
      <w:pPr>
        <w:pStyle w:val="BodyTextIndent2"/>
        <w:spacing w:before="240" w:after="0"/>
        <w:ind w:hanging="2880" w:start="3600" w:end="0"/>
        <w:jc w:val="both"/>
        <w:rPr/>
      </w:pPr>
      <w:r>
        <w:rPr/>
        <w:t>Premium:</w:t>
        <w:tab/>
        <w:t>None</w:t>
      </w:r>
    </w:p>
    <w:p>
      <w:pPr>
        <w:pStyle w:val="BodyTextIndent2"/>
        <w:spacing w:before="240" w:after="0"/>
        <w:ind w:hanging="2880" w:start="3600" w:end="0"/>
        <w:jc w:val="both"/>
        <w:rPr/>
      </w:pPr>
      <w:r>
        <w:rPr/>
        <w:t>Business Day:</w:t>
        <w:tab/>
        <w:t>New York and London</w:t>
      </w:r>
    </w:p>
    <w:p>
      <w:pPr>
        <w:pStyle w:val="BodyTextIndent2"/>
        <w:spacing w:before="240" w:after="0"/>
        <w:ind w:hanging="2880" w:start="3600" w:end="0"/>
        <w:jc w:val="both"/>
        <w:rPr/>
      </w:pPr>
      <w:r>
        <w:rPr/>
        <w:t>Calculation Agent:</w:t>
        <w:tab/>
        <w:t>The Seller, whose determinations and calculations shall be binding in the absence of manifest error</w:t>
      </w:r>
    </w:p>
    <w:p>
      <w:pPr>
        <w:pStyle w:val="Normal12Before"/>
        <w:jc w:val="both"/>
        <w:rPr>
          <w:b/>
        </w:rPr>
      </w:pPr>
      <w:r>
        <w:rPr>
          <w:b/>
        </w:rPr>
        <w:t>2.</w:t>
        <w:tab/>
        <w:t>Procedure for Exercise</w:t>
      </w:r>
    </w:p>
    <w:p>
      <w:pPr>
        <w:pStyle w:val="BodyTextIndent2"/>
        <w:spacing w:before="240" w:after="0"/>
        <w:ind w:hanging="2880" w:start="3600" w:end="0"/>
        <w:jc w:val="both"/>
        <w:rPr/>
      </w:pPr>
      <w:r>
        <w:rPr/>
        <w:t>Exercise Period:</w:t>
        <w:tab/>
        <w:t>From (and including) May __, 2003 to (and including) the Expiration Time</w:t>
      </w:r>
    </w:p>
    <w:p>
      <w:pPr>
        <w:pStyle w:val="BodyTextIndent2"/>
        <w:spacing w:before="240" w:after="0"/>
        <w:ind w:hanging="2880" w:start="3600" w:end="0"/>
        <w:jc w:val="both"/>
        <w:rPr/>
      </w:pPr>
      <w:r>
        <w:rPr/>
        <w:t>Condition to Exercise:</w:t>
        <w:tab/>
        <w:t>It shall be a condition to exercise of this Option that Option 1 shall have been exercised</w:t>
      </w:r>
    </w:p>
    <w:p>
      <w:pPr>
        <w:pStyle w:val="BodyTextIndent2"/>
        <w:spacing w:before="240" w:after="0"/>
        <w:ind w:hanging="2880" w:start="3600" w:end="0"/>
        <w:jc w:val="both"/>
        <w:rPr/>
      </w:pPr>
      <w:r>
        <w:rPr/>
        <w:t>Option 1:</w:t>
        <w:tab/>
        <w:t>The Option evidenced by the Confirmation dated the date hereof between the Seller and the Enron Pass-Through Asset Trust 2000-1 formed pursuant to the Trust Agreement specified herein (the “Trust”) entitled “(Option 1 - Call Option between UBS and Trust)”</w:t>
      </w:r>
    </w:p>
    <w:p>
      <w:pPr>
        <w:pStyle w:val="BodyTextIndent2"/>
        <w:spacing w:before="240" w:after="0"/>
        <w:ind w:hanging="2880" w:start="3600" w:end="0"/>
        <w:jc w:val="both"/>
        <w:rPr/>
      </w:pPr>
      <w:r>
        <w:rPr/>
        <w:t>Expiration Time:</w:t>
        <w:tab/>
        <w:t>9:30 a.m. (London Time) on the Determination Date</w:t>
      </w:r>
    </w:p>
    <w:p>
      <w:pPr>
        <w:pStyle w:val="StayWithBTI2"/>
        <w:spacing w:before="240" w:after="0"/>
        <w:ind w:hanging="2880" w:start="3600" w:end="0"/>
        <w:jc w:val="both"/>
        <w:rPr/>
      </w:pPr>
      <w:r>
        <w:rPr/>
        <w:t>Notice of Exercise and</w:t>
      </w:r>
    </w:p>
    <w:p>
      <w:pPr>
        <w:pStyle w:val="BodyTextIndent2"/>
        <w:spacing w:before="0" w:after="0"/>
        <w:ind w:hanging="2880" w:start="3600" w:end="0"/>
        <w:jc w:val="both"/>
        <w:rPr/>
      </w:pPr>
      <w:r>
        <w:rPr/>
        <w:t>Written Confirmation:</w:t>
        <w:tab/>
        <w:t>The Buyer must deliver irrevocable notice to the Seller (which may be delivered orally, including by telephone) of its exercise of the right granted pursuant to this Option during the Exercise Period from 9:00 a.m. to 3:00 p.m., London time, on any Business Day prior to the Determination Date or from 9:00 a.m., London time, on the Determination Date to the Expiration Time, and the Seller shall deliver such notice to The Bank of New York, as Trustee of the Trust (the “Trustee”), by 12:00 noon, London time, on the Business Day after the Expiration Time</w:t>
      </w:r>
    </w:p>
    <w:p>
      <w:pPr>
        <w:pStyle w:val="BodyTextIndent2"/>
        <w:spacing w:before="240" w:after="0"/>
        <w:ind w:hanging="2880" w:start="3600" w:end="0"/>
        <w:jc w:val="both"/>
        <w:rPr/>
      </w:pPr>
      <w:r>
        <w:rPr/>
        <w:tab/>
        <w:t>If a notice of exercise is delivered orally, the Buyer will execute and deliver a written confirmation confirming the substance of that notice and account details or delivery instructions within one Business Day of that notice. Failure to provide that written confirmation will not affect the validity of that oral notice</w:t>
      </w:r>
    </w:p>
    <w:p>
      <w:pPr>
        <w:pStyle w:val="Normal12Before"/>
        <w:keepNext w:val="true"/>
        <w:jc w:val="both"/>
        <w:rPr>
          <w:b/>
        </w:rPr>
      </w:pPr>
      <w:r>
        <w:rPr>
          <w:b/>
        </w:rPr>
        <w:t>3.</w:t>
        <w:tab/>
        <w:t>Settlement Terms</w:t>
      </w:r>
    </w:p>
    <w:p>
      <w:pPr>
        <w:pStyle w:val="BodyTextIndent2"/>
        <w:spacing w:before="240" w:after="0"/>
        <w:ind w:hanging="2880" w:start="3600" w:end="0"/>
        <w:jc w:val="both"/>
        <w:rPr/>
      </w:pPr>
      <w:r>
        <w:rPr/>
        <w:t>Settlement Method:</w:t>
        <w:tab/>
        <w:t>Physical</w:t>
      </w:r>
    </w:p>
    <w:p>
      <w:pPr>
        <w:pStyle w:val="BodyTextIndent2"/>
        <w:spacing w:before="240" w:after="0"/>
        <w:ind w:hanging="2880" w:start="3600" w:end="0"/>
        <w:jc w:val="both"/>
        <w:rPr/>
      </w:pPr>
      <w:r>
        <w:rPr/>
        <w:t>Settlement Date:</w:t>
        <w:tab/>
        <w:t>June 15, 2003, subject to adjustment in accordance with the Following Business Day Convention</w:t>
      </w:r>
    </w:p>
    <w:p>
      <w:pPr>
        <w:pStyle w:val="BodyTextIndent2"/>
        <w:spacing w:before="240" w:after="0"/>
        <w:ind w:hanging="2880" w:start="3600" w:end="0"/>
        <w:jc w:val="both"/>
        <w:rPr/>
      </w:pPr>
      <w:r>
        <w:rPr/>
        <w:t>Physical Settlement:</w:t>
        <w:tab/>
        <w:t>The Seller shall deliver to the Buyer, with a copy to the Trustee, an assignment of all of the Seller’s right, title and interest and obligations in, to and under Option 1 promptly upon receipt of a notice of exercise, and the Buyer shall deliver the Settlement Amount to the Seller at the account specified below on the Settlement Date</w:t>
      </w:r>
    </w:p>
    <w:p>
      <w:pPr>
        <w:pStyle w:val="BodyTextIndent2"/>
        <w:spacing w:before="240" w:after="0"/>
        <w:ind w:hanging="2880" w:start="3600" w:end="0"/>
        <w:jc w:val="both"/>
        <w:rPr/>
      </w:pPr>
      <w:r>
        <w:rPr/>
        <w:t>Assumption:</w:t>
        <w:tab/>
        <w:t>Upon the assignment of Option 1 to the Buyer as described under “Physical Settlement” above, the Buyer shall automatically and without further action assume and be liable for the performance of the Seller’s obligations thereunder</w:t>
      </w:r>
    </w:p>
    <w:p>
      <w:pPr>
        <w:pStyle w:val="BodyText"/>
        <w:keepNext w:val="true"/>
        <w:tabs>
          <w:tab w:val="left" w:pos="720" w:leader="none"/>
          <w:tab w:val="left" w:pos="1080" w:leader="none"/>
        </w:tabs>
        <w:ind w:hanging="2880" w:start="3600" w:end="0"/>
        <w:jc w:val="both"/>
        <w:rPr/>
      </w:pPr>
      <w:r>
        <w:rPr/>
        <w:t>Seller’s Details for Notice:</w:t>
        <w:tab/>
        <w:t>UBS AG, London Branch</w:t>
      </w:r>
    </w:p>
    <w:p>
      <w:pPr>
        <w:pStyle w:val="BodyText"/>
        <w:keepNext w:val="true"/>
        <w:tabs>
          <w:tab w:val="left" w:pos="720" w:leader="none"/>
          <w:tab w:val="left" w:pos="1080" w:leader="none"/>
        </w:tabs>
        <w:spacing w:before="0" w:after="0"/>
        <w:ind w:hanging="2880" w:start="3600" w:end="0"/>
        <w:jc w:val="both"/>
        <w:rPr/>
      </w:pPr>
      <w:r>
        <w:rPr/>
        <w:tab/>
        <w:tab/>
        <w:t>677 Washington Boulevard</w:t>
      </w:r>
    </w:p>
    <w:p>
      <w:pPr>
        <w:pStyle w:val="BodyText"/>
        <w:tabs>
          <w:tab w:val="left" w:pos="720" w:leader="none"/>
          <w:tab w:val="left" w:pos="1080" w:leader="none"/>
        </w:tabs>
        <w:spacing w:before="0" w:after="0"/>
        <w:ind w:hanging="2880" w:start="3600" w:end="0"/>
        <w:jc w:val="both"/>
        <w:rPr/>
      </w:pPr>
      <w:r>
        <w:rPr/>
        <w:tab/>
        <w:tab/>
        <w:t>Stamford, Connecticut 06901</w:t>
      </w:r>
    </w:p>
    <w:p>
      <w:pPr>
        <w:pStyle w:val="BodyText"/>
        <w:keepNext w:val="true"/>
        <w:tabs>
          <w:tab w:val="left" w:pos="720" w:leader="none"/>
          <w:tab w:val="left" w:pos="1080" w:leader="none"/>
        </w:tabs>
        <w:ind w:hanging="2880" w:start="3600" w:end="0"/>
        <w:jc w:val="both"/>
        <w:rPr/>
      </w:pPr>
      <w:r>
        <w:rPr/>
        <w:tab/>
        <w:tab/>
        <w:t>Attention: _____</w:t>
      </w:r>
    </w:p>
    <w:p>
      <w:pPr>
        <w:pStyle w:val="BodyText"/>
        <w:keepNext w:val="true"/>
        <w:tabs>
          <w:tab w:val="left" w:pos="720" w:leader="none"/>
          <w:tab w:val="left" w:pos="1080" w:leader="none"/>
        </w:tabs>
        <w:spacing w:before="0" w:after="0"/>
        <w:ind w:hanging="2880" w:start="3600" w:end="0"/>
        <w:jc w:val="both"/>
        <w:rPr/>
      </w:pPr>
      <w:r>
        <w:rPr/>
        <w:tab/>
        <w:tab/>
        <w:t>Facsimile: _____</w:t>
      </w:r>
    </w:p>
    <w:p>
      <w:pPr>
        <w:pStyle w:val="Normal12Before"/>
        <w:spacing w:before="0" w:after="0"/>
        <w:ind w:hanging="2880" w:start="3600" w:end="0"/>
        <w:rPr/>
      </w:pPr>
      <w:r>
        <w:rPr/>
        <w:tab/>
      </w:r>
    </w:p>
    <w:p>
      <w:pPr>
        <w:pStyle w:val="Normal12Before"/>
        <w:spacing w:before="0" w:after="0"/>
        <w:ind w:hanging="2880" w:start="3600" w:end="0"/>
        <w:rPr/>
      </w:pPr>
      <w:r>
        <w:rPr/>
        <w:t>Buyer’s Details for Notice:</w:t>
        <w:tab/>
        <w:t>Enron Corp.</w:t>
      </w:r>
    </w:p>
    <w:p>
      <w:pPr>
        <w:pStyle w:val="Normal12Before"/>
        <w:spacing w:before="0" w:after="0"/>
        <w:ind w:hanging="2880" w:start="3600" w:end="0"/>
        <w:rPr/>
      </w:pPr>
      <w:r>
        <w:rPr/>
        <w:tab/>
        <w:t>1400 Smith Street</w:t>
      </w:r>
    </w:p>
    <w:p>
      <w:pPr>
        <w:pStyle w:val="Normal12Before"/>
        <w:spacing w:before="0" w:after="0"/>
        <w:ind w:hanging="2880" w:start="3600" w:end="0"/>
        <w:rPr/>
      </w:pPr>
      <w:r>
        <w:rPr/>
        <w:tab/>
        <w:t>Houston, Texas 77002-7369</w:t>
      </w:r>
    </w:p>
    <w:p>
      <w:pPr>
        <w:pStyle w:val="BodyText"/>
        <w:keepNext w:val="true"/>
        <w:tabs>
          <w:tab w:val="left" w:pos="720" w:leader="none"/>
          <w:tab w:val="left" w:pos="1080" w:leader="none"/>
        </w:tabs>
        <w:ind w:hanging="2880" w:start="3600" w:end="0"/>
        <w:jc w:val="both"/>
        <w:rPr/>
      </w:pPr>
      <w:r>
        <w:rPr/>
        <w:tab/>
        <w:tab/>
        <w:t>Attention: _____</w:t>
      </w:r>
    </w:p>
    <w:p>
      <w:pPr>
        <w:pStyle w:val="BodyText"/>
        <w:keepNext w:val="true"/>
        <w:tabs>
          <w:tab w:val="left" w:pos="720" w:leader="none"/>
          <w:tab w:val="left" w:pos="1080" w:leader="none"/>
        </w:tabs>
        <w:spacing w:before="0" w:after="0"/>
        <w:ind w:hanging="2880" w:start="3600" w:end="0"/>
        <w:jc w:val="both"/>
        <w:rPr/>
      </w:pPr>
      <w:r>
        <w:rPr/>
        <w:tab/>
        <w:tab/>
        <w:t>Facsimile: _____</w:t>
      </w:r>
    </w:p>
    <w:p>
      <w:pPr>
        <w:pStyle w:val="Normal12Before"/>
        <w:keepNext w:val="true"/>
        <w:jc w:val="both"/>
        <w:rPr>
          <w:b/>
        </w:rPr>
      </w:pPr>
      <w:r>
        <w:rPr>
          <w:b/>
        </w:rPr>
        <w:t>4.</w:t>
        <w:tab/>
        <w:t>Account Details</w:t>
      </w:r>
    </w:p>
    <w:p>
      <w:pPr>
        <w:pStyle w:val="BodyTextIndent2"/>
        <w:spacing w:before="240" w:after="0"/>
        <w:jc w:val="both"/>
        <w:rPr/>
      </w:pPr>
      <w:r>
        <w:rPr/>
        <w:t>Account Details of Seller:</w:t>
        <w:tab/>
      </w:r>
    </w:p>
    <w:p>
      <w:pPr>
        <w:pStyle w:val="BodyTextIndent2"/>
        <w:spacing w:before="240" w:after="0"/>
        <w:ind w:start="3600" w:end="0"/>
        <w:jc w:val="both"/>
        <w:rPr/>
      </w:pPr>
      <w:r>
        <w:rPr/>
        <w:t>Sterling Payment Instructions:</w:t>
      </w:r>
    </w:p>
    <w:p>
      <w:pPr>
        <w:pStyle w:val="Normal"/>
        <w:ind w:hanging="2520" w:start="3600" w:end="0"/>
        <w:jc w:val="both"/>
        <w:rPr/>
      </w:pPr>
      <w:r>
        <w:rPr/>
      </w:r>
    </w:p>
    <w:p>
      <w:pPr>
        <w:pStyle w:val="Normal"/>
        <w:ind w:hanging="2520" w:start="3600" w:end="0"/>
        <w:jc w:val="both"/>
        <w:rPr/>
      </w:pPr>
      <w:r>
        <w:rPr/>
        <w:t>Correspondent Bank:</w:t>
        <w:tab/>
        <w:t>Direct via UK Clearing, Chaps. Sort Code: 23-23-23</w:t>
      </w:r>
    </w:p>
    <w:p>
      <w:pPr>
        <w:pStyle w:val="Normal"/>
        <w:ind w:hanging="2520" w:start="3600" w:end="0"/>
        <w:jc w:val="both"/>
        <w:rPr/>
      </w:pPr>
      <w:r>
        <w:rPr/>
        <w:t>Swift Address:</w:t>
        <w:tab/>
        <w:t>UBSWGB2LXXX</w:t>
      </w:r>
    </w:p>
    <w:p>
      <w:pPr>
        <w:pStyle w:val="Normal"/>
        <w:ind w:hanging="2520" w:start="3600" w:end="0"/>
        <w:jc w:val="both"/>
        <w:rPr/>
      </w:pPr>
      <w:r>
        <w:rPr/>
        <w:t>Favour:</w:t>
        <w:tab/>
        <w:t>UBS AG, London Branch</w:t>
      </w:r>
    </w:p>
    <w:p>
      <w:pPr>
        <w:pStyle w:val="Normal"/>
        <w:ind w:hanging="2520" w:start="3600" w:end="0"/>
        <w:jc w:val="both"/>
        <w:rPr/>
      </w:pPr>
      <w:r>
        <w:rPr/>
      </w:r>
    </w:p>
    <w:p>
      <w:pPr>
        <w:pStyle w:val="Normal"/>
        <w:ind w:hanging="2520" w:start="3600" w:end="0"/>
        <w:jc w:val="both"/>
        <w:rPr/>
      </w:pPr>
      <w:r>
        <w:rPr/>
        <w:t>U.S. Dollar Payment Instructions:</w:t>
      </w:r>
    </w:p>
    <w:p>
      <w:pPr>
        <w:pStyle w:val="Normal"/>
        <w:ind w:hanging="2520" w:start="3600" w:end="0"/>
        <w:jc w:val="both"/>
        <w:rPr/>
      </w:pPr>
      <w:r>
        <w:rPr/>
      </w:r>
    </w:p>
    <w:p>
      <w:pPr>
        <w:pStyle w:val="Normal"/>
        <w:ind w:hanging="2520" w:start="3600" w:end="0"/>
        <w:jc w:val="both"/>
        <w:rPr/>
      </w:pPr>
      <w:r>
        <w:rPr/>
        <w:t>Bank:</w:t>
        <w:tab/>
        <w:t>UBS AG, Stamford</w:t>
      </w:r>
    </w:p>
    <w:p>
      <w:pPr>
        <w:pStyle w:val="Normal"/>
        <w:ind w:hanging="2520" w:start="3600" w:end="0"/>
        <w:jc w:val="both"/>
        <w:rPr/>
      </w:pPr>
      <w:r>
        <w:rPr/>
        <w:t>ABA Number:</w:t>
        <w:tab/>
        <w:t>026-007-993</w:t>
      </w:r>
    </w:p>
    <w:p>
      <w:pPr>
        <w:pStyle w:val="Normal"/>
        <w:ind w:hanging="2520" w:start="3600" w:end="0"/>
        <w:jc w:val="both"/>
        <w:rPr/>
      </w:pPr>
      <w:r>
        <w:rPr/>
        <w:t>Account Name:</w:t>
        <w:tab/>
        <w:t>UBS AG, London</w:t>
      </w:r>
    </w:p>
    <w:p>
      <w:pPr>
        <w:pStyle w:val="Normal"/>
        <w:ind w:hanging="2520" w:start="3600" w:end="0"/>
        <w:jc w:val="both"/>
        <w:rPr/>
      </w:pPr>
      <w:r>
        <w:rPr/>
        <w:t>Account Number:</w:t>
        <w:tab/>
        <w:t>__________</w:t>
      </w:r>
    </w:p>
    <w:p>
      <w:pPr>
        <w:pStyle w:val="BodyTextIndent2"/>
        <w:spacing w:before="0" w:after="0"/>
        <w:jc w:val="both"/>
        <w:rPr/>
      </w:pPr>
      <w:r>
        <w:rPr/>
        <w:t xml:space="preserve"> </w:t>
      </w:r>
    </w:p>
    <w:p>
      <w:pPr>
        <w:pStyle w:val="BodyTextIndent2"/>
        <w:spacing w:before="0" w:after="0"/>
        <w:jc w:val="both"/>
        <w:rPr/>
      </w:pPr>
      <w:r>
        <w:rPr/>
        <w:t>Account Details of Buyer:</w:t>
        <w:tab/>
        <w:tab/>
      </w:r>
    </w:p>
    <w:p>
      <w:pPr>
        <w:pStyle w:val="BodyTextIndent2"/>
        <w:spacing w:before="0" w:after="0"/>
        <w:jc w:val="both"/>
        <w:rPr/>
      </w:pPr>
      <w:r>
        <w:rPr/>
      </w:r>
    </w:p>
    <w:p>
      <w:pPr>
        <w:pStyle w:val="Normal"/>
        <w:ind w:hanging="2520" w:start="3600" w:end="0"/>
        <w:jc w:val="both"/>
        <w:rPr/>
      </w:pPr>
      <w:r>
        <w:rPr/>
        <w:t>Sterling Payment Instructions:</w:t>
      </w:r>
    </w:p>
    <w:p>
      <w:pPr>
        <w:pStyle w:val="Normal"/>
        <w:ind w:hanging="2520" w:start="3600" w:end="0"/>
        <w:jc w:val="both"/>
        <w:rPr/>
      </w:pPr>
      <w:r>
        <w:rPr/>
      </w:r>
    </w:p>
    <w:p>
      <w:pPr>
        <w:pStyle w:val="Normal"/>
        <w:ind w:hanging="2520" w:start="3600" w:end="0"/>
        <w:jc w:val="both"/>
        <w:rPr/>
      </w:pPr>
      <w:r>
        <w:rPr/>
        <w:t>Bank:</w:t>
        <w:tab/>
      </w:r>
    </w:p>
    <w:p>
      <w:pPr>
        <w:pStyle w:val="Normal"/>
        <w:ind w:hanging="2520" w:start="3600" w:end="0"/>
        <w:jc w:val="both"/>
        <w:rPr/>
      </w:pPr>
      <w:r>
        <w:rPr/>
        <w:t>Sort Code:</w:t>
        <w:tab/>
        <w:tab/>
      </w:r>
    </w:p>
    <w:p>
      <w:pPr>
        <w:pStyle w:val="Normal"/>
        <w:ind w:hanging="2520" w:start="3600" w:end="0"/>
        <w:jc w:val="both"/>
        <w:rPr/>
      </w:pPr>
      <w:r>
        <w:rPr/>
        <w:t>Account No.:</w:t>
        <w:tab/>
        <w:tab/>
      </w:r>
    </w:p>
    <w:p>
      <w:pPr>
        <w:pStyle w:val="Normal"/>
        <w:ind w:hanging="2520" w:start="3600" w:end="0"/>
        <w:jc w:val="both"/>
        <w:rPr/>
      </w:pPr>
      <w:r>
        <w:rPr/>
      </w:r>
    </w:p>
    <w:p>
      <w:pPr>
        <w:pStyle w:val="Normal"/>
        <w:ind w:hanging="2520" w:start="3600" w:end="0"/>
        <w:jc w:val="both"/>
        <w:rPr/>
      </w:pPr>
      <w:r>
        <w:rPr/>
        <w:t>Dollar Payment Instructions:</w:t>
      </w:r>
    </w:p>
    <w:p>
      <w:pPr>
        <w:pStyle w:val="Normal"/>
        <w:ind w:hanging="2520" w:start="3600" w:end="0"/>
        <w:jc w:val="both"/>
        <w:rPr/>
      </w:pPr>
      <w:r>
        <w:rPr/>
      </w:r>
    </w:p>
    <w:p>
      <w:pPr>
        <w:pStyle w:val="Normal"/>
        <w:ind w:hanging="2520" w:start="3600" w:end="0"/>
        <w:jc w:val="both"/>
        <w:rPr/>
      </w:pPr>
      <w:r>
        <w:rPr/>
        <w:t xml:space="preserve">Bank: </w:t>
        <w:tab/>
        <w:tab/>
      </w:r>
    </w:p>
    <w:p>
      <w:pPr>
        <w:pStyle w:val="Normal"/>
        <w:ind w:hanging="2520" w:start="3600" w:end="0"/>
        <w:jc w:val="both"/>
        <w:rPr/>
      </w:pPr>
      <w:r>
        <w:rPr/>
        <w:t>Sort Code:</w:t>
        <w:tab/>
        <w:tab/>
      </w:r>
    </w:p>
    <w:p>
      <w:pPr>
        <w:pStyle w:val="Normal"/>
        <w:ind w:hanging="2520" w:start="3600" w:end="0"/>
        <w:jc w:val="both"/>
        <w:rPr/>
      </w:pPr>
      <w:r>
        <w:rPr/>
        <w:t>Account No.:</w:t>
        <w:tab/>
        <w:tab/>
      </w:r>
    </w:p>
    <w:p>
      <w:pPr>
        <w:pStyle w:val="Normal"/>
        <w:ind w:hanging="2520" w:start="3600" w:end="0"/>
        <w:jc w:val="both"/>
        <w:rPr/>
      </w:pPr>
      <w:r>
        <w:rPr/>
        <w:t>Swift Code:</w:t>
        <w:tab/>
        <w:tab/>
      </w:r>
    </w:p>
    <w:p>
      <w:pPr>
        <w:pStyle w:val="Normal12Before"/>
        <w:jc w:val="both"/>
        <w:rPr>
          <w:b/>
        </w:rPr>
      </w:pPr>
      <w:r>
        <w:rPr>
          <w:b/>
        </w:rPr>
        <w:t>5.</w:t>
        <w:tab/>
        <w:t>Termination of Option</w:t>
      </w:r>
    </w:p>
    <w:p>
      <w:pPr>
        <w:pStyle w:val="BodyText"/>
        <w:tabs>
          <w:tab w:val="clear" w:pos="720"/>
          <w:tab w:val="left" w:pos="1080" w:leader="none"/>
        </w:tabs>
        <w:jc w:val="both"/>
        <w:rPr/>
      </w:pPr>
      <w:r>
        <w:rPr/>
        <w:t xml:space="preserve"> </w:t>
      </w:r>
      <w:r>
        <w:rPr/>
        <w:t xml:space="preserve">Upon the termination of Option 1, the Transaction shall automatically terminate. No amount shall be payable by the Seller or the Buyer in respect of a termination of the Transaction, unless such termination occurs as a result of (i) an Acceleration Event, (ii) a Credit Event, (iii) a Defeasance Event or (iv) an Other Termination Event, in which case the Buyer shall pay the Seller, or its assignee, the Termination Amount, which shall be deemed to be in respect of (A) the Seller’s losses under Option 1, (B) the Seller’s payment of £_______ to the Buyer on the date of issuance of the Bonds in connection with this Option (which amount shall represent a reasonable payment for the right to receive the Termination Amount upon the termination of the Transaction under this paragraph 5) and (C) the Seller’s granting of this Option to the Buyer. The Buyer and the Seller agree that the Termination Amount represents a reasonable pre-estimate of the loss suffered by the Seller on the termination of the Transaction and Option 1. Upon the termination of the Transaction, except as otherwise stated above in this paragraph 5, neither party shall have any obligations under the Transaction. </w:t>
      </w:r>
    </w:p>
    <w:p>
      <w:pPr>
        <w:pStyle w:val="BodyText"/>
        <w:keepNext w:val="true"/>
        <w:keepLines/>
        <w:jc w:val="both"/>
        <w:rPr/>
      </w:pPr>
      <w:r>
        <w:rPr/>
        <w:t>For purposes of this paragraph 5:</w:t>
      </w:r>
    </w:p>
    <w:p>
      <w:pPr>
        <w:pStyle w:val="BodyText"/>
        <w:keepNext w:val="true"/>
        <w:keepLines/>
        <w:jc w:val="both"/>
        <w:rPr/>
      </w:pPr>
      <w:r>
        <w:rPr/>
        <w:t>A “Conversion Event” means the declaration, at any time on or prior to the Settlement Date, of the principal amount of the Bonds to be due and payable immediately in accordance with Section 502 of the Indenture as a result of the occurrence of an Event of Default under the Indenture.</w:t>
      </w:r>
    </w:p>
    <w:p>
      <w:pPr>
        <w:pStyle w:val="BodyText"/>
        <w:jc w:val="both"/>
        <w:rPr/>
      </w:pPr>
      <w:r>
        <w:rPr/>
        <w:t>A “Credit Event” shall be deemed to have occurred if at any time on or prior to the Settlement Date, the Buyer or any long-term unsecured and unsubordinated debt issued or guaranteed by the Buyer is (i) rated less than “Baa3” by Moody’s Investors Service, Inc. (“Moody’s”) and less than “BBB-” by Standard &amp; Poor’s Ratings Services, a division of The McGraw-Hill Companies, Inc. (“S&amp;P”), (ii) rated less than Baa3 by Moody's or less than BBB- by S&amp;P if rated by only one of such rating agencies or (iii) not rated by either Moody’s or S&amp;P.</w:t>
      </w:r>
    </w:p>
    <w:p>
      <w:pPr>
        <w:pStyle w:val="BodyText"/>
        <w:tabs>
          <w:tab w:val="left" w:pos="720" w:leader="none"/>
          <w:tab w:val="left" w:pos="1080" w:leader="none"/>
        </w:tabs>
        <w:jc w:val="both"/>
        <w:rPr/>
      </w:pPr>
      <w:r>
        <w:rPr/>
        <w:t>A “Defeasance Event” means the defeasance of the Bonds under the Indenture or the purchase or other acquisition of any of the Bonds by the Buyer so as to extinguish such Bonds, in each case at any time on or prior to the Settlement Date.</w:t>
      </w:r>
    </w:p>
    <w:p>
      <w:pPr>
        <w:pStyle w:val="BodyText"/>
        <w:jc w:val="both"/>
        <w:rPr/>
      </w:pPr>
      <w:r>
        <w:rPr/>
        <w:t>An “Other Termination Event” means any termination of the Remarketing Agreement dated as of June 1, 2000 between UBS Warburg LLC and the Buyer in accordance with the terms of Section 9(c) thereof.</w:t>
      </w:r>
    </w:p>
    <w:p>
      <w:pPr>
        <w:pStyle w:val="BodyText"/>
        <w:jc w:val="both"/>
        <w:rPr/>
      </w:pPr>
      <w:r>
        <w:rPr/>
        <w:t>“</w:t>
      </w:r>
      <w:r>
        <w:rPr/>
        <w:t>Reference Dealer” shall mean a market dealer, selected in good faith by the Calculation Agent and agreed to by the Buyer, which makes markets in derivative transactions for corporate and UK Gilt securities in the normal course of business.</w:t>
      </w:r>
    </w:p>
    <w:p>
      <w:pPr>
        <w:pStyle w:val="BodyText"/>
        <w:jc w:val="both"/>
        <w:rPr/>
      </w:pPr>
      <w:r>
        <w:rPr/>
        <w:t>“</w:t>
      </w:r>
      <w:r>
        <w:rPr/>
        <w:t>Termination Amount” shall mean the fair market value of an option to receive the Settlement Amount on the Settlement Date as of the date of termination of the Transaction</w:t>
      </w:r>
      <w:r>
        <w:rPr>
          <w:b/>
        </w:rPr>
        <w:t xml:space="preserve">. </w:t>
      </w:r>
      <w:r>
        <w:rPr/>
        <w:t xml:space="preserve">The fair market value shall be determined by the Calculation Agent, by requesting, within five Business Days of the termination of Option 1, bids from five Reference Dealers (one of which shall be the Seller). The Calculation Agent shall (i) if five bids are made, disregard the lowest and the highest bids and (ii) average the remaining bids to determine the fair market value; </w:t>
      </w:r>
      <w:r>
        <w:rPr>
          <w:i/>
        </w:rPr>
        <w:t>provided, however</w:t>
      </w:r>
      <w:r>
        <w:rPr/>
        <w:t>, that, if the Calculation Agent has received fewer than five bids by 5:00 p.m., London time, on the second Business Day following the request for such bids, the fair market value shall be the average of the bids that have been received as of such time.</w:t>
      </w:r>
    </w:p>
    <w:p>
      <w:pPr>
        <w:pStyle w:val="BodyText"/>
        <w:jc w:val="both"/>
        <w:rPr/>
      </w:pPr>
      <w:r>
        <w:rPr/>
        <w:t>The Seller shall have the right to assign its right to receive the Termination Amount hereunder, if any, to an affiliate of the Seller, to which assignment the Buyer hereby agrees, upon giving written notice of such assignment to the Buyer.</w:t>
      </w:r>
    </w:p>
    <w:p>
      <w:pPr>
        <w:pStyle w:val="Normal12Before"/>
        <w:jc w:val="both"/>
        <w:rPr>
          <w:b/>
          <w:vanish/>
        </w:rPr>
      </w:pPr>
      <w:r>
        <w:rPr>
          <w:b/>
        </w:rPr>
        <w:t>6.</w:t>
        <w:tab/>
        <w:t>Condition Precedent</w:t>
      </w:r>
    </w:p>
    <w:p>
      <w:pPr>
        <w:pStyle w:val="BodyText"/>
        <w:jc w:val="both"/>
        <w:rPr/>
      </w:pPr>
      <w:r>
        <w:rPr/>
        <w:t>All payment obligations in connection with the Transaction are subject to the condition that the Trust’s Certificates provided for in the Trust Agreement dated as of June 1, 2000 between the Buyer and the Trustee (the “Trust Agreement”) and the Bonds each shall have been issued as contemplated by the Offering Circular dated June __, 2000 relating to the Certificates.</w:t>
      </w:r>
    </w:p>
    <w:p>
      <w:pPr>
        <w:pStyle w:val="BodyText"/>
        <w:jc w:val="both"/>
        <w:rPr/>
      </w:pPr>
      <w:r>
        <w:rPr/>
        <w:t>Please confirm that the foregoing correctly sets forth the terms of our agreement by executing this Confirmation and returning it to us. If returned by facsimile transmission, please reply to ______. When sending hard copies, please return them to UBS AG, London Branch, 677 Washington Boulevard, Stamford, Connecticut 06901, Attention:  ______.</w:t>
      </w:r>
      <w:r>
        <w:br w:type="page"/>
      </w:r>
    </w:p>
    <w:p>
      <w:pPr>
        <w:pStyle w:val="BodyText"/>
        <w:keepNext w:val="true"/>
        <w:rPr/>
      </w:pPr>
      <w:r>
        <w:rPr/>
        <w:t>We are happy to have completed this Transaction with you.</w:t>
      </w:r>
    </w:p>
    <w:p>
      <w:pPr>
        <w:pStyle w:val="sigline"/>
        <w:tabs>
          <w:tab w:val="clear" w:pos="9216"/>
        </w:tabs>
        <w:rPr/>
      </w:pPr>
      <w:r>
        <w:rPr/>
        <w:t>Very truly yours,</w:t>
      </w:r>
    </w:p>
    <w:p>
      <w:pPr>
        <w:pStyle w:val="Normal"/>
        <w:keepNext w:val="true"/>
        <w:spacing w:before="600" w:after="0"/>
        <w:ind w:start="4320" w:end="0"/>
        <w:rPr/>
      </w:pPr>
      <w:r>
        <w:rPr/>
        <w:t>UBS AG, London Branch</w:t>
      </w:r>
    </w:p>
    <w:p>
      <w:pPr>
        <w:pStyle w:val="Normal"/>
        <w:keepNext w:val="true"/>
        <w:spacing w:before="600" w:after="0"/>
        <w:ind w:start="4320" w:end="0"/>
        <w:rPr/>
      </w:pPr>
      <w:r>
        <w:rPr/>
        <w:br/>
        <w:t>By:______________________</w:t>
      </w:r>
    </w:p>
    <w:p>
      <w:pPr>
        <w:pStyle w:val="Normal"/>
        <w:keepNext w:val="true"/>
        <w:tabs>
          <w:tab w:val="clear" w:pos="720"/>
          <w:tab w:val="left" w:pos="4680" w:leader="none"/>
        </w:tabs>
        <w:ind w:start="4320" w:end="0"/>
        <w:rPr/>
      </w:pPr>
      <w:r>
        <w:rPr/>
        <w:tab/>
        <w:t>Name:</w:t>
      </w:r>
    </w:p>
    <w:p>
      <w:pPr>
        <w:pStyle w:val="Normal"/>
        <w:tabs>
          <w:tab w:val="clear" w:pos="720"/>
          <w:tab w:val="left" w:pos="4680" w:leader="none"/>
        </w:tabs>
        <w:ind w:start="4320" w:end="0"/>
        <w:rPr/>
      </w:pPr>
      <w:r>
        <w:rPr/>
        <w:tab/>
        <w:t>Title:</w:t>
      </w:r>
    </w:p>
    <w:p>
      <w:pPr>
        <w:pStyle w:val="Normal"/>
        <w:keepNext w:val="true"/>
        <w:spacing w:before="600" w:after="0"/>
        <w:ind w:start="4320" w:end="0"/>
        <w:rPr/>
      </w:pPr>
      <w:r>
        <w:rPr/>
        <w:t>By:______________________</w:t>
      </w:r>
    </w:p>
    <w:p>
      <w:pPr>
        <w:pStyle w:val="Normal"/>
        <w:keepNext w:val="true"/>
        <w:tabs>
          <w:tab w:val="clear" w:pos="720"/>
          <w:tab w:val="left" w:pos="4680" w:leader="none"/>
        </w:tabs>
        <w:ind w:start="4320" w:end="0"/>
        <w:rPr/>
      </w:pPr>
      <w:r>
        <w:rPr/>
        <w:tab/>
        <w:t>Name:</w:t>
      </w:r>
    </w:p>
    <w:p>
      <w:pPr>
        <w:pStyle w:val="Normal"/>
        <w:tabs>
          <w:tab w:val="clear" w:pos="720"/>
          <w:tab w:val="left" w:pos="4680" w:leader="none"/>
        </w:tabs>
        <w:ind w:start="4320" w:end="0"/>
        <w:rPr/>
      </w:pPr>
      <w:r>
        <w:rPr/>
        <w:tab/>
        <w:t>Title:</w:t>
      </w:r>
    </w:p>
    <w:p>
      <w:pPr>
        <w:pStyle w:val="Normal12Before"/>
        <w:keepNext w:val="true"/>
        <w:rPr/>
      </w:pPr>
      <w:r>
        <w:rPr/>
        <w:t>Accepted and confirmed as of</w:t>
        <w:br/>
        <w:t>the date first above written:</w:t>
      </w:r>
    </w:p>
    <w:p>
      <w:pPr>
        <w:pStyle w:val="Normal12Before"/>
        <w:keepNext w:val="true"/>
        <w:rPr/>
      </w:pPr>
      <w:r>
        <w:rPr/>
        <w:t>Enron Corp.</w:t>
      </w:r>
    </w:p>
    <w:p>
      <w:pPr>
        <w:pStyle w:val="Normal"/>
        <w:keepNext w:val="true"/>
        <w:spacing w:before="600" w:after="0"/>
        <w:ind w:hanging="4320" w:start="4320" w:end="0"/>
        <w:rPr/>
      </w:pPr>
      <w:r>
        <w:rPr/>
        <w:t>By:______________________</w:t>
      </w:r>
    </w:p>
    <w:p>
      <w:pPr>
        <w:pStyle w:val="Normal"/>
        <w:keepNext w:val="true"/>
        <w:tabs>
          <w:tab w:val="clear" w:pos="720"/>
          <w:tab w:val="left" w:pos="4680" w:leader="none"/>
        </w:tabs>
        <w:ind w:hanging="4050" w:start="4320" w:end="0"/>
        <w:rPr/>
      </w:pPr>
      <w:r>
        <w:rPr/>
        <w:t>Name:</w:t>
      </w:r>
    </w:p>
    <w:p>
      <w:pPr>
        <w:pStyle w:val="Normal"/>
        <w:tabs>
          <w:tab w:val="clear" w:pos="720"/>
          <w:tab w:val="left" w:pos="4680" w:leader="none"/>
        </w:tabs>
        <w:ind w:hanging="4050" w:start="4320" w:end="0"/>
        <w:rPr/>
      </w:pPr>
      <w:r>
        <w:rPr/>
        <w:t>Title:</w:t>
      </w:r>
    </w:p>
    <w:p>
      <w:pPr>
        <w:pStyle w:val="Normal"/>
        <w:keepNext w:val="true"/>
        <w:spacing w:before="600" w:after="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sz w:val="20"/>
      </w:rPr>
    </w:pPr>
    <w:r>
      <w:rPr>
        <w:sz w:val="20"/>
      </w:rPr>
      <w:fldChar w:fldCharType="begin"/>
    </w:r>
    <w:r>
      <w:rPr>
        <w:sz w:val="20"/>
      </w:rPr>
      <w:instrText xml:space="preserve"> PAGE </w:instrText>
    </w:r>
    <w:r>
      <w:rPr>
        <w:sz w:val="20"/>
      </w:rPr>
      <w:fldChar w:fldCharType="separate"/>
    </w:r>
    <w:r>
      <w:rPr>
        <w:sz w:val="20"/>
      </w:rPr>
      <w:t>8</w:t>
    </w:r>
    <w:r>
      <w:rPr>
        <w:sz w:val="20"/>
      </w:rPr>
      <w:fldChar w:fldCharType="end"/>
    </w:r>
  </w:p>
  <w:p>
    <w:pPr>
      <w:pStyle w:val="DocID"/>
      <w:rPr/>
    </w:pPr>
    <w:r>
      <w:rPr/>
      <w:fldChar w:fldCharType="begin"/>
    </w:r>
    <w:r>
      <w:rPr/>
      <w:instrText xml:space="preserve"> KEYWORDS </w:instrText>
    </w:r>
    <w:r>
      <w:rPr/>
      <w:fldChar w:fldCharType="separate"/>
    </w:r>
    <w:r>
      <w:rPr/>
      <w:t>63235566.03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63235566.03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r>
  </w:p>
  <w:p>
    <w:pPr>
      <w:pStyle w:val="Header"/>
      <w:jc w:val="end"/>
      <w:rPr>
        <w:sz w:val="22"/>
      </w:rPr>
    </w:pPr>
    <w:r>
      <w:rPr>
        <w:sz w:val="22"/>
      </w:rPr>
      <w:t>DRAFT</w:t>
    </w:r>
  </w:p>
  <w:p>
    <w:pPr>
      <w:pStyle w:val="Header"/>
      <w:jc w:val="end"/>
      <w:rPr>
        <w:sz w:val="22"/>
      </w:rPr>
    </w:pPr>
    <w:r>
      <w:rPr>
        <w:sz w:val="22"/>
      </w:rPr>
      <w:t>6/2/00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Bold" w:hAnsi="Times New Roman Bold" w:cs="Times New Roman Bold"/>
      <w:b/>
      <w:i w:val="false"/>
    </w:rPr>
  </w:style>
  <w:style w:type="character" w:styleId="WW8Num11z1">
    <w:name w:val="WW8Num11z1"/>
    <w:qFormat/>
    <w:rPr>
      <w:rFonts w:ascii="Times New Roman" w:hAnsi="Times New Roman" w:cs="Times New Roman"/>
    </w:rPr>
  </w:style>
  <w:style w:type="character" w:styleId="WW8Num12z0">
    <w:name w:val="WW8Num12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Times New Roman" w:hAnsi="Times New Roman" w:cs="Times New Roman"/>
      <w:b w:val="false"/>
      <w:i w:val="false"/>
      <w:color w:val="auto"/>
      <w:sz w:val="24"/>
      <w:u w:val="none"/>
    </w:rPr>
  </w:style>
  <w:style w:type="character" w:styleId="WW8Num12z2">
    <w:name w:val="WW8Num12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1">
    <w:name w:val="Sched1"/>
    <w:basedOn w:val="Normal"/>
    <w:qFormat/>
    <w:pPr>
      <w:spacing w:before="360" w:after="0"/>
      <w:jc w:val="center"/>
      <w:outlineLvl w:val="0"/>
    </w:pPr>
    <w:rPr>
      <w:caps/>
      <w:color w:val="0000FF"/>
      <w:kern w:val="2"/>
      <w:sz w:val="24"/>
    </w:rPr>
  </w:style>
  <w:style w:type="paragraph" w:styleId="Sched2">
    <w:name w:val="Sched2"/>
    <w:basedOn w:val="Normal"/>
    <w:qFormat/>
    <w:pPr>
      <w:tabs>
        <w:tab w:val="clear" w:pos="720"/>
        <w:tab w:val="left" w:pos="1814" w:leader="none"/>
      </w:tabs>
      <w:spacing w:before="240" w:after="0"/>
      <w:ind w:firstLine="1440" w:start="0" w:end="0"/>
    </w:pPr>
    <w:rPr>
      <w:sz w:val="24"/>
    </w:rPr>
  </w:style>
  <w:style w:type="paragraph" w:styleId="Sched3">
    <w:name w:val="Sched3"/>
    <w:basedOn w:val="Normal"/>
    <w:qFormat/>
    <w:pPr>
      <w:tabs>
        <w:tab w:val="clear" w:pos="720"/>
        <w:tab w:val="left" w:pos="2635" w:leader="none"/>
      </w:tabs>
      <w:spacing w:before="240" w:after="0"/>
      <w:ind w:firstLine="1440" w:start="720" w:end="0"/>
    </w:pPr>
    <w:rPr>
      <w:sz w:val="24"/>
    </w:rPr>
  </w:style>
  <w:style w:type="paragraph" w:styleId="Sched4">
    <w:name w:val="Sched4"/>
    <w:basedOn w:val="Normal"/>
    <w:qFormat/>
    <w:pPr>
      <w:tabs>
        <w:tab w:val="clear" w:pos="720"/>
        <w:tab w:val="right" w:pos="2880" w:leader="none"/>
      </w:tabs>
      <w:spacing w:before="240" w:after="0"/>
      <w:ind w:hanging="1008" w:start="3168" w:end="0"/>
    </w:pPr>
    <w:rPr>
      <w:sz w:val="24"/>
    </w:rPr>
  </w:style>
  <w:style w:type="paragraph" w:styleId="SchedHead">
    <w:name w:val="SchedHead"/>
    <w:basedOn w:val="Heading1"/>
    <w:qFormat/>
    <w:pPr>
      <w:numPr>
        <w:ilvl w:val="0"/>
        <w:numId w:val="0"/>
      </w:numPr>
      <w:outlineLvl w:val="9"/>
    </w:pPr>
    <w:rPr/>
  </w:style>
  <w:style w:type="paragraph" w:styleId="TOC1">
    <w:name w:val="toc 1"/>
    <w:basedOn w:val="Normal"/>
    <w:next w:val="Normal"/>
    <w:pPr>
      <w:tabs>
        <w:tab w:val="clear" w:pos="720"/>
        <w:tab w:val="right" w:pos="9360" w:leader="dot"/>
      </w:tabs>
      <w:spacing w:before="360" w:after="0"/>
      <w:jc w:val="center"/>
    </w:pPr>
    <w:rPr>
      <w:caps/>
      <w:lang w:val="en-CA"/>
    </w:rPr>
  </w:style>
  <w:style w:type="paragraph" w:styleId="TOC2">
    <w:name w:val="toc 2"/>
    <w:basedOn w:val="Normal"/>
    <w:next w:val="Normal"/>
    <w:pPr>
      <w:tabs>
        <w:tab w:val="clear" w:pos="720"/>
        <w:tab w:val="right" w:pos="9346" w:leader="dot"/>
      </w:tabs>
      <w:spacing w:before="240" w:after="0"/>
      <w:ind w:hanging="1440" w:start="1440" w:end="720"/>
    </w:pPr>
    <w:rPr>
      <w:lang w:val="en-CA"/>
    </w:rPr>
  </w:style>
  <w:style w:type="paragraph" w:styleId="TOC3">
    <w:name w:val="toc 3"/>
    <w:basedOn w:val="Normal"/>
    <w:next w:val="Normal"/>
    <w:pPr>
      <w:tabs>
        <w:tab w:val="clear" w:pos="720"/>
        <w:tab w:val="right" w:pos="9346" w:leader="dot"/>
      </w:tabs>
      <w:ind w:hanging="504" w:start="1944" w:end="720"/>
    </w:pPr>
    <w:rPr>
      <w:lang w:val="en-CA"/>
    </w:rPr>
  </w:style>
  <w:style w:type="paragraph" w:styleId="TOC4">
    <w:name w:val="toc 4"/>
    <w:basedOn w:val="Normal"/>
    <w:next w:val="Normal"/>
    <w:pPr>
      <w:tabs>
        <w:tab w:val="clear" w:pos="720"/>
        <w:tab w:val="right" w:pos="2160" w:leader="none"/>
        <w:tab w:val="right" w:pos="9346" w:leader="dot"/>
      </w:tabs>
      <w:ind w:hanging="979" w:start="2419" w:end="720"/>
    </w:pPr>
    <w:rPr>
      <w:lang w:val="en-CA"/>
    </w:rPr>
  </w:style>
  <w:style w:type="paragraph" w:styleId="TOC5">
    <w:name w:val="toc 5"/>
    <w:basedOn w:val="Normal"/>
    <w:next w:val="Normal"/>
    <w:pPr>
      <w:tabs>
        <w:tab w:val="clear" w:pos="720"/>
        <w:tab w:val="right" w:pos="9346" w:leader="dot"/>
      </w:tabs>
      <w:ind w:hanging="547" w:start="2880" w:end="720"/>
    </w:pPr>
    <w:rPr>
      <w:lang w:val="en-CA"/>
    </w:rPr>
  </w:style>
  <w:style w:type="paragraph" w:styleId="TOC6">
    <w:name w:val="toc 6"/>
    <w:basedOn w:val="Normal"/>
    <w:next w:val="Normal"/>
    <w:pPr>
      <w:tabs>
        <w:tab w:val="clear" w:pos="720"/>
        <w:tab w:val="right" w:pos="9346" w:leader="dot"/>
      </w:tabs>
      <w:ind w:hanging="547" w:start="3427" w:end="720"/>
    </w:pPr>
    <w:rPr>
      <w:lang w:val="en-CA"/>
    </w:rPr>
  </w:style>
  <w:style w:type="paragraph" w:styleId="TOC7">
    <w:name w:val="toc 7"/>
    <w:basedOn w:val="Normal"/>
    <w:next w:val="Normal"/>
    <w:pPr>
      <w:tabs>
        <w:tab w:val="clear" w:pos="720"/>
        <w:tab w:val="right" w:pos="9346" w:leader="dot"/>
      </w:tabs>
      <w:ind w:hanging="533" w:start="3960" w:end="720"/>
    </w:pPr>
    <w:rPr>
      <w:lang w:val="en-CA"/>
    </w:rPr>
  </w:style>
  <w:style w:type="paragraph" w:styleId="TOC8">
    <w:name w:val="toc 8"/>
    <w:basedOn w:val="Normal"/>
    <w:next w:val="Normal"/>
    <w:pPr>
      <w:tabs>
        <w:tab w:val="clear" w:pos="720"/>
        <w:tab w:val="right" w:pos="9346" w:leader="dot"/>
      </w:tabs>
      <w:ind w:hanging="533" w:start="3960" w:end="720"/>
    </w:pPr>
    <w:rPr>
      <w:lang w:val="en-CA"/>
    </w:rPr>
  </w:style>
  <w:style w:type="paragraph" w:styleId="TOC9">
    <w:name w:val="toc 9"/>
    <w:basedOn w:val="Normal"/>
    <w:next w:val="Normal"/>
    <w:pPr>
      <w:tabs>
        <w:tab w:val="clear" w:pos="720"/>
        <w:tab w:val="right" w:pos="9346" w:leader="dot"/>
      </w:tabs>
      <w:ind w:hanging="533" w:start="3960" w:end="720"/>
    </w:pPr>
    <w:rPr>
      <w:lang w:val="en-CA"/>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FootnoteText">
    <w:name w:val="footnote text"/>
    <w:basedOn w:val="Normal"/>
    <w:pPr>
      <w:spacing w:before="60" w:after="0"/>
      <w:ind w:hanging="360" w:start="360" w:end="0"/>
    </w:pPr>
    <w:rPr>
      <w:sz w:val="20"/>
    </w:rPr>
  </w:style>
  <w:style w:type="paragraph" w:styleId="centerbold">
    <w:name w:val="centerbold"/>
    <w:basedOn w:val="Normal"/>
    <w:qFormat/>
    <w:pPr>
      <w:jc w:val="center"/>
    </w:pPr>
    <w:rPr>
      <w:b/>
    </w:rPr>
  </w:style>
  <w:style w:type="paragraph" w:styleId="hangingindent">
    <w:name w:val="hanging indent"/>
    <w:basedOn w:val="Normal"/>
    <w:qFormat/>
    <w:pPr>
      <w:spacing w:before="240" w:after="0"/>
      <w:ind w:hanging="720" w:start="720" w:end="0"/>
    </w:pPr>
    <w:rPr/>
  </w:style>
  <w:style w:type="paragraph" w:styleId="Indent10">
    <w:name w:val="Indent10"/>
    <w:basedOn w:val="Normal"/>
    <w:qFormat/>
    <w:pPr>
      <w:spacing w:before="240" w:after="0"/>
      <w:ind w:firstLine="720" w:start="1440" w:end="0"/>
    </w:pPr>
    <w:rPr/>
  </w:style>
  <w:style w:type="paragraph" w:styleId="indent5">
    <w:name w:val="indent5"/>
    <w:basedOn w:val="Normal"/>
    <w:qFormat/>
    <w:pPr>
      <w:spacing w:before="240" w:after="0"/>
      <w:ind w:firstLine="720" w:start="720" w:end="0"/>
    </w:pPr>
    <w:rPr/>
  </w:style>
  <w:style w:type="paragraph" w:styleId="letterdate">
    <w:name w:val="letterdate"/>
    <w:basedOn w:val="Normal"/>
    <w:qFormat/>
    <w:pPr>
      <w:spacing w:before="2280" w:after="840"/>
      <w:jc w:val="center"/>
    </w:pPr>
    <w:rPr/>
  </w:style>
  <w:style w:type="paragraph" w:styleId="Normal12Before">
    <w:name w:val="Normal 12 Before"/>
    <w:basedOn w:val="Normal"/>
    <w:qFormat/>
    <w:pPr>
      <w:spacing w:before="240" w:after="0"/>
    </w:pPr>
    <w:rPr/>
  </w:style>
  <w:style w:type="paragraph" w:styleId="quote">
    <w:name w:val="quote"/>
    <w:basedOn w:val="Normal"/>
    <w:qFormat/>
    <w:pPr>
      <w:spacing w:before="240" w:after="0"/>
      <w:ind w:hanging="0" w:start="1440" w:end="1440"/>
    </w:pPr>
    <w:rPr/>
  </w:style>
  <w:style w:type="paragraph" w:styleId="sigline">
    <w:name w:val="sigline"/>
    <w:basedOn w:val="Normal"/>
    <w:qFormat/>
    <w:pPr>
      <w:keepNext w:val="true"/>
      <w:keepLines/>
      <w:tabs>
        <w:tab w:val="clear" w:pos="720"/>
        <w:tab w:val="right" w:pos="9216" w:leader="none"/>
      </w:tabs>
      <w:spacing w:before="360" w:after="0"/>
      <w:ind w:hanging="0" w:start="4320" w:end="0"/>
    </w:pPr>
    <w:rPr/>
  </w:style>
  <w:style w:type="paragraph" w:styleId="memotext">
    <w:name w:val="memo text"/>
    <w:basedOn w:val="BodyText"/>
    <w:qFormat/>
    <w:pPr>
      <w:spacing w:lineRule="auto" w:line="360" w:before="120" w:after="0"/>
    </w:pPr>
    <w:rPr/>
  </w:style>
  <w:style w:type="paragraph" w:styleId="Re">
    <w:name w:val="Re:"/>
    <w:basedOn w:val="Normal12Before"/>
    <w:qFormat/>
    <w:pPr>
      <w:tabs>
        <w:tab w:val="clear" w:pos="720"/>
        <w:tab w:val="left" w:pos="7110" w:leader="none"/>
      </w:tabs>
      <w:ind w:hanging="720" w:start="1440" w:end="2160"/>
    </w:pPr>
    <w:rPr/>
  </w:style>
  <w:style w:type="paragraph" w:styleId="BodyTextFirstIndent">
    <w:name w:val="Body Text First Indent"/>
    <w:basedOn w:val="BodyText"/>
    <w:qFormat/>
    <w:pPr>
      <w:spacing w:before="0" w:after="240"/>
    </w:pPr>
    <w:rPr/>
  </w:style>
  <w:style w:type="paragraph" w:styleId="BodyTextIndent2">
    <w:name w:val="Body Text Indent 2"/>
    <w:basedOn w:val="BodyText"/>
    <w:qFormat/>
    <w:pPr>
      <w:spacing w:before="0" w:after="240"/>
      <w:ind w:hanging="2520" w:start="3240" w:end="0"/>
    </w:pPr>
    <w:rPr/>
  </w:style>
  <w:style w:type="paragraph" w:styleId="StayWithBTI2">
    <w:name w:val="StayWithBTI2"/>
    <w:basedOn w:val="Normal"/>
    <w:qFormat/>
    <w:pPr>
      <w:keepNext w:val="true"/>
      <w:ind w:hanging="0" w:start="720" w:end="0"/>
    </w:pPr>
    <w:rPr/>
  </w:style>
  <w:style w:type="paragraph" w:styleId="Signature">
    <w:name w:val="Signature"/>
    <w:basedOn w:val="Normal"/>
    <w:pPr>
      <w:tabs>
        <w:tab w:val="clear" w:pos="720"/>
        <w:tab w:val="left" w:pos="4680" w:leader="none"/>
        <w:tab w:val="right" w:pos="7920" w:leader="none"/>
      </w:tabs>
      <w:spacing w:before="0" w:after="480"/>
      <w:ind w:hanging="0" w:start="43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2000-06-03T20:13:00Z</dcterms:created>
  <dc:creator>Winthrop, Stimson, Putnam &amp; Roberts</dc:creator>
  <dc:description/>
  <cp:keywords>63235566.03</cp:keywords>
  <dc:language>en-CA</dc:language>
  <cp:lastModifiedBy>Winthrop, Stimson, Putnam &amp; Roberts</cp:lastModifiedBy>
  <cp:lastPrinted>2000-06-03T14:13:00Z</cp:lastPrinted>
  <dcterms:modified xsi:type="dcterms:W3CDTF">2000-06-03T20:13:00Z</dcterms:modified>
  <cp:revision>2</cp:revision>
  <dc:subject>v 0.84</dc:subject>
  <dc:title>___, 2000</dc:title>
</cp:coreProperties>
</file>