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080" w:leader="none"/>
        </w:tabs>
        <w:spacing w:before="600" w:after="0"/>
        <w:jc w:val="center"/>
        <w:rPr/>
      </w:pPr>
      <w:r>
        <w:rPr/>
        <w:t>______, 2000</w:t>
      </w:r>
    </w:p>
    <w:p>
      <w:pPr>
        <w:pStyle w:val="Normal"/>
        <w:tabs>
          <w:tab w:val="left" w:pos="720" w:leader="none"/>
          <w:tab w:val="left" w:pos="1080" w:leader="none"/>
        </w:tabs>
        <w:spacing w:before="600" w:after="0"/>
        <w:rPr/>
      </w:pPr>
      <w:r>
        <w:rPr/>
      </w:r>
    </w:p>
    <w:p>
      <w:pPr>
        <w:pStyle w:val="Normal"/>
        <w:tabs>
          <w:tab w:val="left" w:pos="720" w:leader="none"/>
          <w:tab w:val="left" w:pos="1080" w:leader="none"/>
        </w:tabs>
        <w:spacing w:before="600" w:after="0"/>
        <w:rPr/>
      </w:pPr>
      <w:r>
        <w:rPr/>
      </w:r>
    </w:p>
    <w:p>
      <w:pPr>
        <w:pStyle w:val="Normal"/>
        <w:tabs>
          <w:tab w:val="left" w:pos="720" w:leader="none"/>
          <w:tab w:val="left" w:pos="1080" w:leader="none"/>
        </w:tabs>
        <w:spacing w:before="600" w:after="0"/>
        <w:rPr/>
      </w:pPr>
      <w:r>
        <w:rPr/>
        <w:t>The Bank of New York, as Trustee of the</w:t>
        <w:br/>
        <w:t>Enron Pass-Through Asset Trust 2000-1</w:t>
      </w:r>
    </w:p>
    <w:p>
      <w:pPr>
        <w:pStyle w:val="Normal"/>
        <w:tabs>
          <w:tab w:val="left" w:pos="720" w:leader="none"/>
          <w:tab w:val="left" w:pos="1080" w:leader="none"/>
        </w:tabs>
        <w:rPr/>
      </w:pPr>
      <w:r>
        <w:rPr/>
        <w:t>101 Barclay Street</w:t>
      </w:r>
    </w:p>
    <w:p>
      <w:pPr>
        <w:pStyle w:val="Normal"/>
        <w:tabs>
          <w:tab w:val="left" w:pos="720" w:leader="none"/>
          <w:tab w:val="left" w:pos="1080" w:leader="none"/>
        </w:tabs>
        <w:rPr/>
      </w:pPr>
      <w:r>
        <w:rPr/>
        <w:t>New York, New York 10286</w:t>
      </w:r>
    </w:p>
    <w:p>
      <w:pPr>
        <w:pStyle w:val="Normal12Before"/>
        <w:tabs>
          <w:tab w:val="left" w:pos="720" w:leader="none"/>
          <w:tab w:val="left" w:pos="1080" w:leader="none"/>
        </w:tabs>
        <w:rPr/>
      </w:pPr>
      <w:r>
        <w:rPr/>
        <w:t>Attention:  Ming Shiang</w:t>
      </w:r>
    </w:p>
    <w:p>
      <w:pPr>
        <w:pStyle w:val="Normal12Before"/>
        <w:tabs>
          <w:tab w:val="left" w:pos="720" w:leader="none"/>
          <w:tab w:val="left" w:pos="1080" w:leader="none"/>
        </w:tabs>
        <w:ind w:hanging="3600" w:start="3600" w:end="0"/>
        <w:rPr/>
      </w:pPr>
      <w:r>
        <w:rPr/>
        <w:t>Facsimile: 212-815-5595</w:t>
        <w:tab/>
        <w:t>Our Reference:  UBS Call Option</w:t>
      </w:r>
    </w:p>
    <w:p>
      <w:pPr>
        <w:pStyle w:val="Normal12Before"/>
        <w:tabs>
          <w:tab w:val="left" w:pos="720" w:leader="none"/>
          <w:tab w:val="left" w:pos="1080" w:leader="none"/>
        </w:tabs>
        <w:rPr>
          <w:b/>
        </w:rPr>
      </w:pPr>
      <w:r>
        <w:rPr>
          <w:b/>
        </w:rPr>
      </w:r>
    </w:p>
    <w:p>
      <w:pPr>
        <w:pStyle w:val="Normal12Before"/>
        <w:tabs>
          <w:tab w:val="left" w:pos="720" w:leader="none"/>
          <w:tab w:val="left" w:pos="1080" w:leader="none"/>
        </w:tabs>
        <w:rPr>
          <w:b/>
        </w:rPr>
      </w:pPr>
      <w:r>
        <w:rPr>
          <w:b/>
        </w:rPr>
        <w:t>TRANSACTION (Option 1 - Call Option between UBS and Trust)</w:t>
      </w:r>
    </w:p>
    <w:p>
      <w:pPr>
        <w:pStyle w:val="BodyText"/>
        <w:tabs>
          <w:tab w:val="left" w:pos="720" w:leader="none"/>
          <w:tab w:val="left" w:pos="1080" w:leader="none"/>
        </w:tabs>
        <w:jc w:val="both"/>
        <w:rPr/>
      </w:pPr>
      <w:r>
        <w:rPr/>
        <w:t>The purpose of this letter agreement is to confirm the terms and conditions of the Swap Transaction entered into between UBS AG, London Branch (“UBS”) and The Bank of New York, as Trustee of Enron Pass-Through Asset Trust 2000-1 (“Counterparty”), on the Trade Date specified below (the “Transaction”). This letter agreement constitutes a “Confirmation” as referred to in the Master Agreement specified below.</w:t>
      </w:r>
    </w:p>
    <w:p>
      <w:pPr>
        <w:pStyle w:val="BodyText"/>
        <w:tabs>
          <w:tab w:val="left" w:pos="720" w:leader="none"/>
          <w:tab w:val="left" w:pos="1080" w:leader="none"/>
        </w:tabs>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tabs>
          <w:tab w:val="left" w:pos="720" w:leader="none"/>
          <w:tab w:val="left" w:pos="1080" w:leader="none"/>
        </w:tabs>
        <w:jc w:val="both"/>
        <w:rPr/>
      </w:pPr>
      <w:r>
        <w:rPr/>
        <w:t>This Confirmation constitutes a “Confirmation” as referred to in, and supplements, forms a part of and is subject to, the ISDA Master Agreement dated as of _____, 2000, as amended and supplemented from time to time (the “Master Agreement”), between Counterparty and UBS. All provisions contained in the Master Agreement govern this Confirmation except as expressly modified below.</w:t>
      </w:r>
      <w:r>
        <w:br w:type="page"/>
      </w:r>
    </w:p>
    <w:p>
      <w:pPr>
        <w:pStyle w:val="BodyText"/>
        <w:tabs>
          <w:tab w:val="left" w:pos="720" w:leader="none"/>
          <w:tab w:val="left" w:pos="1080" w:leader="none"/>
        </w:tabs>
        <w:jc w:val="both"/>
        <w:rPr/>
      </w:pPr>
      <w:r>
        <w:rPr/>
        <w:t>The terms of the Transaction to which this Confirmation relates are as follows:</w:t>
      </w:r>
    </w:p>
    <w:p>
      <w:pPr>
        <w:pStyle w:val="Normal12Before"/>
        <w:tabs>
          <w:tab w:val="left" w:pos="720" w:leader="none"/>
          <w:tab w:val="left" w:pos="1080" w:leader="none"/>
        </w:tabs>
        <w:jc w:val="both"/>
        <w:rPr>
          <w:b/>
        </w:rPr>
      </w:pPr>
      <w:r>
        <w:rPr>
          <w:b/>
        </w:rPr>
        <w:t>1.</w:t>
        <w:tab/>
        <w:t>General Terms</w:t>
      </w:r>
    </w:p>
    <w:p>
      <w:pPr>
        <w:pStyle w:val="BodyText"/>
        <w:tabs>
          <w:tab w:val="left" w:pos="720" w:leader="none"/>
          <w:tab w:val="left" w:pos="1080" w:leader="none"/>
        </w:tabs>
        <w:ind w:hanging="2880" w:start="3600" w:end="0"/>
        <w:jc w:val="both"/>
        <w:rPr/>
      </w:pPr>
      <w:r>
        <w:rPr/>
        <w:t>Trade Date:</w:t>
        <w:tab/>
        <w:t>_____, 2000</w:t>
      </w:r>
    </w:p>
    <w:p>
      <w:pPr>
        <w:pStyle w:val="BodyText"/>
        <w:tabs>
          <w:tab w:val="left" w:pos="720" w:leader="none"/>
          <w:tab w:val="left" w:pos="1080" w:leader="none"/>
        </w:tabs>
        <w:ind w:hanging="2880" w:start="3600" w:end="0"/>
        <w:jc w:val="both"/>
        <w:rPr/>
      </w:pPr>
      <w:r>
        <w:rPr/>
        <w:t>Option Style:</w:t>
        <w:tab/>
        <w:t>European, subject to Section 5 hereof</w:t>
      </w:r>
    </w:p>
    <w:p>
      <w:pPr>
        <w:pStyle w:val="BodyText"/>
        <w:tabs>
          <w:tab w:val="left" w:pos="720" w:leader="none"/>
          <w:tab w:val="left" w:pos="1080" w:leader="none"/>
        </w:tabs>
        <w:ind w:hanging="2880" w:start="3600" w:end="0"/>
        <w:jc w:val="both"/>
        <w:rPr/>
      </w:pPr>
      <w:r>
        <w:rPr/>
        <w:t>Option Type:</w:t>
        <w:tab/>
        <w:t>Call</w:t>
      </w:r>
    </w:p>
    <w:p>
      <w:pPr>
        <w:pStyle w:val="BodyText"/>
        <w:tabs>
          <w:tab w:val="left" w:pos="720" w:leader="none"/>
          <w:tab w:val="left" w:pos="1080" w:leader="none"/>
        </w:tabs>
        <w:ind w:hanging="2880" w:start="3600" w:end="0"/>
        <w:jc w:val="both"/>
        <w:rPr/>
      </w:pPr>
      <w:r>
        <w:rPr/>
        <w:t>Seller:</w:t>
        <w:tab/>
        <w:t>Counterparty</w:t>
      </w:r>
    </w:p>
    <w:p>
      <w:pPr>
        <w:pStyle w:val="BodyText"/>
        <w:tabs>
          <w:tab w:val="left" w:pos="720" w:leader="none"/>
          <w:tab w:val="left" w:pos="1080" w:leader="none"/>
        </w:tabs>
        <w:ind w:hanging="2880" w:start="3600" w:end="0"/>
        <w:jc w:val="both"/>
        <w:rPr/>
      </w:pPr>
      <w:r>
        <w:rPr/>
        <w:t>Buyer:</w:t>
        <w:tab/>
        <w:t>UBS</w:t>
      </w:r>
    </w:p>
    <w:p>
      <w:pPr>
        <w:pStyle w:val="BodyText"/>
        <w:tabs>
          <w:tab w:val="left" w:pos="720" w:leader="none"/>
          <w:tab w:val="left" w:pos="1080" w:leader="none"/>
        </w:tabs>
        <w:ind w:hanging="2880" w:start="3600" w:end="0"/>
        <w:jc w:val="both"/>
        <w:rPr/>
      </w:pPr>
      <w:r>
        <w:rPr/>
        <w:t>Issuer:</w:t>
        <w:tab/>
        <w:t>Enron Corp.</w:t>
      </w:r>
    </w:p>
    <w:p>
      <w:pPr>
        <w:pStyle w:val="BodyText"/>
        <w:tabs>
          <w:tab w:val="left" w:pos="720" w:leader="none"/>
          <w:tab w:val="left" w:pos="1080" w:leader="none"/>
        </w:tabs>
        <w:ind w:hanging="2880" w:start="3600" w:end="0"/>
        <w:jc w:val="both"/>
        <w:rPr/>
      </w:pPr>
      <w:r>
        <w:rPr/>
        <w:t>Indenture:</w:t>
        <w:tab/>
        <w:t>Indenture, dated as of November 1, 1985, as supplemented from time to time, between the Issuer and The Bank of New York (as successor to Harris Trust and Savings Bank), as Trustee</w:t>
      </w:r>
    </w:p>
    <w:p>
      <w:pPr>
        <w:pStyle w:val="BodyText"/>
        <w:tabs>
          <w:tab w:val="left" w:pos="720" w:leader="none"/>
          <w:tab w:val="left" w:pos="1080" w:leader="none"/>
        </w:tabs>
        <w:ind w:hanging="2880" w:start="3600" w:end="0"/>
        <w:jc w:val="both"/>
        <w:rPr/>
      </w:pPr>
      <w:r>
        <w:rPr/>
        <w:t>Bonds:</w:t>
        <w:tab/>
        <w:t>£_______ aggregate principal amount of the Issuer’s Reset Senior Notes Due ______ issued under the Indenture</w:t>
      </w:r>
    </w:p>
    <w:p>
      <w:pPr>
        <w:pStyle w:val="BodyText"/>
        <w:keepNext w:val="true"/>
        <w:tabs>
          <w:tab w:val="left" w:pos="720" w:leader="none"/>
          <w:tab w:val="left" w:pos="1080" w:leader="none"/>
        </w:tabs>
        <w:ind w:hanging="2880" w:start="3600" w:end="0"/>
        <w:jc w:val="both"/>
        <w:rPr/>
      </w:pPr>
      <w:r>
        <w:rPr/>
        <w:t>Aggregate Face Amount</w:t>
      </w:r>
    </w:p>
    <w:p>
      <w:pPr>
        <w:pStyle w:val="BodyText"/>
        <w:keepNext w:val="true"/>
        <w:tabs>
          <w:tab w:val="left" w:pos="720" w:leader="none"/>
          <w:tab w:val="left" w:pos="1080" w:leader="none"/>
        </w:tabs>
        <w:spacing w:before="0" w:after="0"/>
        <w:ind w:hanging="2880" w:start="3600" w:end="0"/>
        <w:jc w:val="both"/>
        <w:rPr/>
      </w:pPr>
      <w:r>
        <w:rPr/>
        <w:t>of Bonds:</w:t>
        <w:tab/>
        <w:t>£______</w:t>
      </w:r>
    </w:p>
    <w:p>
      <w:pPr>
        <w:pStyle w:val="BodyText"/>
        <w:tabs>
          <w:tab w:val="left" w:pos="720" w:leader="none"/>
          <w:tab w:val="left" w:pos="1080" w:leader="none"/>
        </w:tabs>
        <w:ind w:hanging="2880" w:start="3600" w:end="0"/>
        <w:jc w:val="both"/>
        <w:rPr/>
      </w:pPr>
      <w:r>
        <w:rPr/>
        <w:t>Partial Exercise:</w:t>
        <w:tab/>
        <w:t>Inapplicable</w:t>
      </w:r>
    </w:p>
    <w:p>
      <w:pPr>
        <w:pStyle w:val="BodyText"/>
        <w:tabs>
          <w:tab w:val="left" w:pos="720" w:leader="none"/>
          <w:tab w:val="left" w:pos="1080" w:leader="none"/>
        </w:tabs>
        <w:ind w:hanging="2880" w:start="3600" w:end="0"/>
        <w:jc w:val="both"/>
        <w:rPr/>
      </w:pPr>
      <w:r>
        <w:rPr/>
        <w:t>Option Strike Price:</w:t>
        <w:tab/>
        <w:t>100.0%</w:t>
      </w:r>
    </w:p>
    <w:p>
      <w:pPr>
        <w:pStyle w:val="BodyText"/>
        <w:tabs>
          <w:tab w:val="left" w:pos="720" w:leader="none"/>
          <w:tab w:val="left" w:pos="1080" w:leader="none"/>
        </w:tabs>
        <w:ind w:hanging="2880" w:start="3600" w:end="0"/>
        <w:jc w:val="both"/>
        <w:rPr/>
      </w:pPr>
      <w:r>
        <w:rPr/>
        <w:t>Premium:</w:t>
        <w:tab/>
        <w:t>£______</w:t>
      </w:r>
    </w:p>
    <w:p>
      <w:pPr>
        <w:pStyle w:val="BodyText"/>
        <w:tabs>
          <w:tab w:val="left" w:pos="720" w:leader="none"/>
          <w:tab w:val="left" w:pos="1080" w:leader="none"/>
        </w:tabs>
        <w:ind w:hanging="2880" w:start="3600" w:end="0"/>
        <w:jc w:val="both"/>
        <w:rPr/>
      </w:pPr>
      <w:r>
        <w:rPr/>
        <w:t>Premium Payment Date:</w:t>
        <w:tab/>
        <w:t>The date of issuance of the Bonds</w:t>
      </w:r>
    </w:p>
    <w:p>
      <w:pPr>
        <w:pStyle w:val="BodyText"/>
        <w:tabs>
          <w:tab w:val="left" w:pos="720" w:leader="none"/>
          <w:tab w:val="left" w:pos="1080" w:leader="none"/>
        </w:tabs>
        <w:ind w:hanging="2880" w:start="3600" w:end="0"/>
        <w:jc w:val="both"/>
        <w:rPr/>
      </w:pPr>
      <w:r>
        <w:rPr/>
        <w:t>Business Day:</w:t>
        <w:tab/>
        <w:t>New York City and London</w:t>
      </w:r>
    </w:p>
    <w:p>
      <w:pPr>
        <w:pStyle w:val="BodyText"/>
        <w:tabs>
          <w:tab w:val="left" w:pos="720" w:leader="none"/>
          <w:tab w:val="left" w:pos="1080" w:leader="none"/>
        </w:tabs>
        <w:ind w:hanging="2880" w:start="3600" w:end="0"/>
        <w:jc w:val="both"/>
        <w:rPr/>
      </w:pPr>
      <w:r>
        <w:rPr/>
        <w:t>Calculation Agent:</w:t>
        <w:tab/>
        <w:t>UBS, whose determinations and calculations shall be binding in the absence of manifest error</w:t>
      </w:r>
    </w:p>
    <w:p>
      <w:pPr>
        <w:pStyle w:val="BodyText"/>
        <w:keepNext w:val="true"/>
        <w:tabs>
          <w:tab w:val="left" w:pos="720" w:leader="none"/>
          <w:tab w:val="left" w:pos="1080" w:leader="none"/>
        </w:tabs>
        <w:ind w:hanging="3600" w:start="3600" w:end="0"/>
        <w:jc w:val="both"/>
        <w:rPr>
          <w:b/>
        </w:rPr>
      </w:pPr>
      <w:r>
        <w:rPr>
          <w:b/>
        </w:rPr>
        <w:t>2.</w:t>
        <w:tab/>
        <w:t>Procedure for Exercise</w:t>
      </w:r>
    </w:p>
    <w:p>
      <w:pPr>
        <w:pStyle w:val="BodyText"/>
        <w:tabs>
          <w:tab w:val="left" w:pos="720" w:leader="none"/>
          <w:tab w:val="left" w:pos="1080" w:leader="none"/>
        </w:tabs>
        <w:ind w:hanging="2880" w:start="3600" w:end="0"/>
        <w:jc w:val="both"/>
        <w:rPr/>
      </w:pPr>
      <w:r>
        <w:rPr/>
        <w:t>Exercise Date:</w:t>
        <w:tab/>
        <w:t>______, subject to adjustment in accordance with the Preceding Business Day Convention</w:t>
      </w:r>
    </w:p>
    <w:p>
      <w:pPr>
        <w:pStyle w:val="BodyText"/>
        <w:keepNext w:val="true"/>
        <w:tabs>
          <w:tab w:val="left" w:pos="720" w:leader="none"/>
          <w:tab w:val="left" w:pos="1080" w:leader="none"/>
        </w:tabs>
        <w:spacing w:before="0" w:after="0"/>
        <w:ind w:hanging="2880" w:start="3600" w:end="0"/>
        <w:jc w:val="both"/>
        <w:rPr/>
      </w:pPr>
      <w:r>
        <w:rPr/>
        <w:tab/>
      </w:r>
    </w:p>
    <w:p>
      <w:pPr>
        <w:pStyle w:val="BodyText"/>
        <w:keepNext w:val="true"/>
        <w:tabs>
          <w:tab w:val="left" w:pos="720" w:leader="none"/>
          <w:tab w:val="left" w:pos="1080" w:leader="none"/>
        </w:tabs>
        <w:spacing w:before="0" w:after="0"/>
        <w:ind w:hanging="2880" w:start="3600" w:end="0"/>
        <w:jc w:val="both"/>
        <w:rPr/>
      </w:pPr>
      <w:r>
        <w:rPr/>
        <w:t xml:space="preserve">Notice of Exercise and </w:t>
      </w:r>
    </w:p>
    <w:p>
      <w:pPr>
        <w:pStyle w:val="BodyText"/>
        <w:keepNext w:val="true"/>
        <w:tabs>
          <w:tab w:val="left" w:pos="720" w:leader="none"/>
          <w:tab w:val="left" w:pos="1080" w:leader="none"/>
        </w:tabs>
        <w:spacing w:before="0" w:after="0"/>
        <w:ind w:hanging="2880" w:start="3600" w:end="0"/>
        <w:jc w:val="both"/>
        <w:rPr/>
      </w:pPr>
      <w:r>
        <w:rPr/>
        <w:t xml:space="preserve">Written Confirmation: </w:t>
        <w:tab/>
        <w:t>The Buyer must deliver irrevocable notice to the Seller (which may be delivered orally, including by telephone) of its exercise of the right granted pursuant to this Option prior to 4:00 p.m., New York time, on the Exercise Date, and the Seller shall deliver such notice (or report such oral notice) to the Issuer by 12:00 noon, New York time, on the Business Day following the Exercise Date</w:t>
      </w:r>
    </w:p>
    <w:p>
      <w:pPr>
        <w:pStyle w:val="BodyText"/>
        <w:tabs>
          <w:tab w:val="left" w:pos="720" w:leader="none"/>
          <w:tab w:val="left" w:pos="1080" w:leader="none"/>
        </w:tabs>
        <w:ind w:hanging="2880" w:start="3600" w:end="0"/>
        <w:jc w:val="both"/>
        <w:rPr/>
      </w:pPr>
      <w:r>
        <w:rPr/>
        <w:tab/>
        <w:tab/>
        <w:t>If a notice of exercise is delivered orally, the Buyer will execute and deliver a written confirmation confirming the substance of that notice and account details or delivery instructions within one Business Day of that notice, but failure to provide that written confirmation will not affect the validity of that oral notice</w:t>
      </w:r>
    </w:p>
    <w:p>
      <w:pPr>
        <w:pStyle w:val="BodyText"/>
        <w:keepNext w:val="true"/>
        <w:tabs>
          <w:tab w:val="left" w:pos="720" w:leader="none"/>
          <w:tab w:val="left" w:pos="1080" w:leader="none"/>
        </w:tabs>
        <w:ind w:hanging="2880" w:start="3600" w:end="0"/>
        <w:jc w:val="both"/>
        <w:rPr/>
      </w:pPr>
      <w:r>
        <w:rPr/>
        <w:t>UBS Details for Notice:</w:t>
        <w:tab/>
        <w:t>[Insert name]</w:t>
      </w:r>
    </w:p>
    <w:p>
      <w:pPr>
        <w:pStyle w:val="BodyText"/>
        <w:keepNext w:val="true"/>
        <w:tabs>
          <w:tab w:val="left" w:pos="720" w:leader="none"/>
          <w:tab w:val="left" w:pos="1080" w:leader="none"/>
        </w:tabs>
        <w:spacing w:before="0" w:after="0"/>
        <w:ind w:hanging="2880" w:start="3600" w:end="0"/>
        <w:jc w:val="both"/>
        <w:rPr/>
      </w:pPr>
      <w:r>
        <w:rPr/>
        <w:tab/>
        <w:tab/>
        <w:t>UBS AG, London Branch</w:t>
      </w:r>
    </w:p>
    <w:p>
      <w:pPr>
        <w:pStyle w:val="BodyText"/>
        <w:keepNext w:val="true"/>
        <w:tabs>
          <w:tab w:val="left" w:pos="720" w:leader="none"/>
          <w:tab w:val="left" w:pos="1080" w:leader="none"/>
        </w:tabs>
        <w:spacing w:before="0" w:after="0"/>
        <w:ind w:hanging="2880" w:start="3600" w:end="0"/>
        <w:jc w:val="both"/>
        <w:rPr/>
      </w:pPr>
      <w:r>
        <w:rPr/>
        <w:tab/>
        <w:tab/>
        <w:t>677 Washington Boulevard</w:t>
      </w:r>
    </w:p>
    <w:p>
      <w:pPr>
        <w:pStyle w:val="BodyText"/>
        <w:tabs>
          <w:tab w:val="left" w:pos="720" w:leader="none"/>
          <w:tab w:val="left" w:pos="1080" w:leader="none"/>
        </w:tabs>
        <w:spacing w:before="0" w:after="0"/>
        <w:ind w:hanging="2880" w:start="3600" w:end="0"/>
        <w:jc w:val="both"/>
        <w:rPr/>
      </w:pPr>
      <w:r>
        <w:rPr/>
        <w:tab/>
        <w:tab/>
        <w:t>Stamford, Connecticut 06901</w:t>
      </w:r>
    </w:p>
    <w:p>
      <w:pPr>
        <w:pStyle w:val="BodyText"/>
        <w:tabs>
          <w:tab w:val="left" w:pos="720" w:leader="none"/>
          <w:tab w:val="left" w:pos="1080" w:leader="none"/>
        </w:tabs>
        <w:spacing w:before="0" w:after="0"/>
        <w:ind w:hanging="2880" w:start="3600" w:end="0"/>
        <w:jc w:val="both"/>
        <w:rPr/>
      </w:pPr>
      <w:r>
        <w:rPr/>
      </w:r>
    </w:p>
    <w:p>
      <w:pPr>
        <w:pStyle w:val="BodyText"/>
        <w:tabs>
          <w:tab w:val="left" w:pos="720" w:leader="none"/>
          <w:tab w:val="left" w:pos="1080" w:leader="none"/>
        </w:tabs>
        <w:spacing w:before="0" w:after="0"/>
        <w:ind w:hanging="2880" w:start="3600" w:end="0"/>
        <w:jc w:val="both"/>
        <w:rPr/>
      </w:pPr>
      <w:r>
        <w:rPr/>
        <w:t xml:space="preserve">Counterparty Details </w:t>
        <w:tab/>
        <w:t>The Bank of New York, as Trustee of the Enron</w:t>
      </w:r>
    </w:p>
    <w:p>
      <w:pPr>
        <w:pStyle w:val="BodyText"/>
        <w:tabs>
          <w:tab w:val="left" w:pos="720" w:leader="none"/>
          <w:tab w:val="left" w:pos="1080" w:leader="none"/>
        </w:tabs>
        <w:spacing w:before="0" w:after="0"/>
        <w:ind w:hanging="2880" w:start="3600" w:end="0"/>
        <w:jc w:val="both"/>
        <w:rPr/>
      </w:pPr>
      <w:r>
        <w:rPr/>
        <w:t>for Notice:</w:t>
        <w:tab/>
        <w:t>Pass-Through Asset Trust 2000-1</w:t>
      </w:r>
    </w:p>
    <w:p>
      <w:pPr>
        <w:pStyle w:val="BodyText"/>
        <w:keepLines/>
        <w:tabs>
          <w:tab w:val="left" w:pos="720" w:leader="none"/>
          <w:tab w:val="left" w:pos="1080" w:leader="none"/>
        </w:tabs>
        <w:spacing w:before="0" w:after="0"/>
        <w:ind w:hanging="2880" w:start="3600" w:end="0"/>
        <w:jc w:val="both"/>
        <w:rPr/>
      </w:pPr>
      <w:r>
        <w:rPr/>
        <w:tab/>
        <w:tab/>
      </w:r>
    </w:p>
    <w:p>
      <w:pPr>
        <w:pStyle w:val="BodyText"/>
        <w:keepLines/>
        <w:tabs>
          <w:tab w:val="left" w:pos="720" w:leader="none"/>
          <w:tab w:val="left" w:pos="1080" w:leader="none"/>
        </w:tabs>
        <w:spacing w:before="0" w:after="0"/>
        <w:ind w:hanging="2880" w:start="3600" w:end="0"/>
        <w:jc w:val="both"/>
        <w:rPr/>
      </w:pPr>
      <w:r>
        <w:rPr/>
        <w:tab/>
        <w:tab/>
        <w:t>Attn: Ming Shiang</w:t>
      </w:r>
    </w:p>
    <w:p>
      <w:pPr>
        <w:pStyle w:val="BodyText"/>
        <w:keepNext w:val="true"/>
        <w:keepLines/>
        <w:tabs>
          <w:tab w:val="left" w:pos="720" w:leader="none"/>
          <w:tab w:val="left" w:pos="1080" w:leader="none"/>
        </w:tabs>
        <w:spacing w:before="0" w:after="0"/>
        <w:ind w:hanging="2880" w:start="3600" w:end="0"/>
        <w:jc w:val="both"/>
        <w:rPr/>
      </w:pPr>
      <w:r>
        <w:rPr/>
        <w:tab/>
        <w:tab/>
        <w:t>101 Barclay Street</w:t>
      </w:r>
    </w:p>
    <w:p>
      <w:pPr>
        <w:pStyle w:val="BodyText"/>
        <w:keepNext w:val="true"/>
        <w:keepLines/>
        <w:tabs>
          <w:tab w:val="left" w:pos="720" w:leader="none"/>
          <w:tab w:val="left" w:pos="1080" w:leader="none"/>
        </w:tabs>
        <w:spacing w:before="0" w:after="0"/>
        <w:ind w:hanging="2880" w:start="3600" w:end="0"/>
        <w:jc w:val="both"/>
        <w:rPr/>
      </w:pPr>
      <w:r>
        <w:rPr/>
        <w:tab/>
        <w:tab/>
        <w:t>Floor 21 West</w:t>
      </w:r>
    </w:p>
    <w:p>
      <w:pPr>
        <w:pStyle w:val="BodyText"/>
        <w:keepNext w:val="true"/>
        <w:keepLines/>
        <w:tabs>
          <w:tab w:val="left" w:pos="720" w:leader="none"/>
          <w:tab w:val="left" w:pos="1080" w:leader="none"/>
        </w:tabs>
        <w:spacing w:before="0" w:after="0"/>
        <w:ind w:hanging="2880" w:start="3600" w:end="0"/>
        <w:jc w:val="both"/>
        <w:rPr/>
      </w:pPr>
      <w:r>
        <w:rPr/>
        <w:tab/>
        <w:tab/>
        <w:t>New York, New York 10286</w:t>
      </w:r>
    </w:p>
    <w:p>
      <w:pPr>
        <w:pStyle w:val="BodyText"/>
        <w:keepLines/>
        <w:tabs>
          <w:tab w:val="left" w:pos="720" w:leader="none"/>
          <w:tab w:val="left" w:pos="1080" w:leader="none"/>
        </w:tabs>
        <w:spacing w:before="0" w:after="0"/>
        <w:ind w:hanging="2880" w:start="3600" w:end="0"/>
        <w:jc w:val="both"/>
        <w:rPr/>
      </w:pPr>
      <w:r>
        <w:rPr/>
        <w:tab/>
        <w:tab/>
        <w:t>Facsimile: 212-815-5595</w:t>
      </w:r>
    </w:p>
    <w:p>
      <w:pPr>
        <w:pStyle w:val="BodyText"/>
        <w:keepNext w:val="true"/>
        <w:tabs>
          <w:tab w:val="left" w:pos="720" w:leader="none"/>
          <w:tab w:val="left" w:pos="1080" w:leader="none"/>
        </w:tabs>
        <w:ind w:hanging="0" w:end="0"/>
        <w:jc w:val="both"/>
        <w:rPr>
          <w:b/>
        </w:rPr>
      </w:pPr>
      <w:r>
        <w:rPr>
          <w:b/>
        </w:rPr>
        <w:t>3.</w:t>
        <w:tab/>
        <w:t>Settlement Terms</w:t>
      </w:r>
    </w:p>
    <w:p>
      <w:pPr>
        <w:pStyle w:val="BodyText"/>
        <w:tabs>
          <w:tab w:val="left" w:pos="720" w:leader="none"/>
          <w:tab w:val="left" w:pos="1080" w:leader="none"/>
        </w:tabs>
        <w:ind w:hanging="2880" w:start="3600" w:end="0"/>
        <w:jc w:val="both"/>
        <w:rPr/>
      </w:pPr>
      <w:r>
        <w:rPr/>
        <w:t xml:space="preserve">Settlement Method: </w:t>
        <w:tab/>
        <w:t>Physical</w:t>
      </w:r>
    </w:p>
    <w:p>
      <w:pPr>
        <w:pStyle w:val="BodyText"/>
        <w:tabs>
          <w:tab w:val="left" w:pos="720" w:leader="none"/>
          <w:tab w:val="left" w:pos="1080" w:leader="none"/>
        </w:tabs>
        <w:ind w:hanging="2880" w:start="3600" w:end="0"/>
        <w:jc w:val="both"/>
        <w:rPr/>
      </w:pPr>
      <w:r>
        <w:rPr/>
        <w:t>Settlement Date:</w:t>
        <w:tab/>
        <w:t>______, subject to adjustment in accordance with the Following Business Day Convention</w:t>
      </w:r>
    </w:p>
    <w:p>
      <w:pPr>
        <w:pStyle w:val="BodyText"/>
        <w:tabs>
          <w:tab w:val="left" w:pos="720" w:leader="none"/>
          <w:tab w:val="left" w:pos="1080" w:leader="none"/>
        </w:tabs>
        <w:ind w:hanging="2880" w:start="3600" w:end="0"/>
        <w:jc w:val="both"/>
        <w:rPr/>
      </w:pPr>
      <w:r>
        <w:rPr/>
        <w:t>Physical Settlement:</w:t>
        <w:tab/>
        <w:t>By 2:00 p.m., London time, on the Business Day next preceding the Settlement Date, the Buyer shall deliver the Bond Payment to The Bank of New York, as trustee of the Seller (the “Trustee”). The Trustee shall hold such payment in escrow and invest it in accordance with the Trust Agreement dated as of _____, 2000 between the Issuer and Counterparty until the Settlement Date. Upon the Seller’s delivery of the Aggregate Face Amount of Bonds to the Buyer at the account specified below, the Trustee shall deliver the Bond Payment to the Seller and shall remit any income earned on such investment of the Bond Payment to the Buyer</w:t>
      </w:r>
    </w:p>
    <w:p>
      <w:pPr>
        <w:pStyle w:val="BodyText"/>
        <w:tabs>
          <w:tab w:val="left" w:pos="720" w:leader="none"/>
          <w:tab w:val="left" w:pos="1080" w:leader="none"/>
        </w:tabs>
        <w:ind w:hanging="2880" w:start="3600" w:end="0"/>
        <w:jc w:val="both"/>
        <w:rPr/>
      </w:pPr>
      <w:r>
        <w:rPr/>
        <w:tab/>
        <w:tab/>
        <w:t>Delivery of the Bonds on the Settlement Date shall take place through physical delivery of the Bonds by the Trustee to the Buyer</w:t>
      </w:r>
    </w:p>
    <w:p>
      <w:pPr>
        <w:pStyle w:val="BodyText"/>
        <w:tabs>
          <w:tab w:val="left" w:pos="720" w:leader="none"/>
          <w:tab w:val="left" w:pos="1080" w:leader="none"/>
        </w:tabs>
        <w:ind w:hanging="2880" w:start="3600" w:end="0"/>
        <w:jc w:val="both"/>
        <w:rPr/>
      </w:pPr>
      <w:r>
        <w:rPr/>
        <w:t>Bond Payment:</w:t>
        <w:tab/>
        <w:t>The sum of the product of the Option Strike Price (expressed as a percentage of the face amount of the Bonds) multiplied by the Aggregate Face Amount of Bonds computed in accordance with customary trade practices employed with respect to the Bonds</w:t>
      </w:r>
    </w:p>
    <w:p>
      <w:pPr>
        <w:pStyle w:val="BodyText"/>
        <w:keepNext w:val="true"/>
        <w:tabs>
          <w:tab w:val="left" w:pos="720" w:leader="none"/>
          <w:tab w:val="left" w:pos="1080" w:leader="none"/>
        </w:tabs>
        <w:ind w:hanging="2880" w:start="3600" w:end="0"/>
        <w:jc w:val="both"/>
        <w:rPr/>
      </w:pPr>
      <w:r>
        <w:rPr/>
        <w:t>Failure to Make</w:t>
      </w:r>
    </w:p>
    <w:p>
      <w:pPr>
        <w:pStyle w:val="BodyText"/>
        <w:tabs>
          <w:tab w:val="left" w:pos="720" w:leader="none"/>
          <w:tab w:val="left" w:pos="1080" w:leader="none"/>
        </w:tabs>
        <w:spacing w:before="0" w:after="0"/>
        <w:ind w:hanging="2880" w:start="3600" w:end="0"/>
        <w:jc w:val="both"/>
        <w:rPr/>
      </w:pPr>
      <w:r>
        <w:rPr/>
        <w:t>Bond Payment:</w:t>
        <w:tab/>
        <w:t>Failure by the Buyer to make the Bond Payment to the Trustee by 2:00 p.m., London time, on the Business Day next preceding the Settlement Date shall constitute an Event of Default in respect of the Transaction</w:t>
      </w:r>
    </w:p>
    <w:p>
      <w:pPr>
        <w:pStyle w:val="BodyText"/>
        <w:tabs>
          <w:tab w:val="left" w:pos="720" w:leader="none"/>
          <w:tab w:val="left" w:pos="1080" w:leader="none"/>
        </w:tabs>
        <w:ind w:hanging="2880" w:start="3600" w:end="0"/>
        <w:jc w:val="both"/>
        <w:rPr/>
      </w:pPr>
      <w:r>
        <w:rPr/>
        <w:t>Failure to Deliver Bonds:</w:t>
        <w:tab/>
        <w:t>Failure by the Seller to deliver, when due, the Bonds under this Option shall constitute an Event of Default hereunder only if on or before the third Business Day after notice of such failure is given to the Seller it does not (a) remedy such failure or (b) provide such security or such other assurances to the Buyer, as Buyer, acting in good faith but in its sole discretion, deems fit. Upon such Event of Default, the Trustee, upon the Buyer’s request, shall return the Bond Payment, together with any income earned thereon from investments contemplated under “Physical Settlement” above, to the Buyer, and neither the Buyer nor the Seller shall have further obligations hereunder</w:t>
      </w:r>
    </w:p>
    <w:p>
      <w:pPr>
        <w:pStyle w:val="BodyText"/>
        <w:keepNext w:val="true"/>
        <w:tabs>
          <w:tab w:val="left" w:pos="720" w:leader="none"/>
          <w:tab w:val="left" w:pos="1080" w:leader="none"/>
        </w:tabs>
        <w:ind w:hanging="3600" w:start="3600" w:end="0"/>
        <w:jc w:val="both"/>
        <w:rPr>
          <w:b/>
        </w:rPr>
      </w:pPr>
      <w:r>
        <w:rPr>
          <w:b/>
        </w:rPr>
        <w:t>4.</w:t>
        <w:tab/>
        <w:t>Account Details</w:t>
      </w:r>
    </w:p>
    <w:p>
      <w:pPr>
        <w:pStyle w:val="BodyText"/>
        <w:tabs>
          <w:tab w:val="left" w:pos="720" w:leader="none"/>
          <w:tab w:val="left" w:pos="1080" w:leader="none"/>
        </w:tabs>
        <w:ind w:hanging="2880" w:start="3600" w:end="0"/>
        <w:jc w:val="both"/>
        <w:rPr/>
      </w:pPr>
      <w:r>
        <w:rPr/>
        <w:t>Account Details of UBS:</w:t>
        <w:tab/>
      </w:r>
    </w:p>
    <w:p>
      <w:pPr>
        <w:pStyle w:val="BodyTextIndent2"/>
        <w:tabs>
          <w:tab w:val="left" w:pos="720" w:leader="none"/>
          <w:tab w:val="left" w:pos="1080" w:leader="none"/>
        </w:tabs>
        <w:spacing w:before="240" w:after="240"/>
        <w:ind w:hanging="2880" w:start="3600" w:end="0"/>
        <w:jc w:val="both"/>
        <w:rPr/>
      </w:pPr>
      <w:r>
        <w:rPr/>
        <w:tab/>
        <w:t>Sterling Payment Instructions:</w:t>
      </w:r>
    </w:p>
    <w:p>
      <w:pPr>
        <w:pStyle w:val="Normal"/>
        <w:tabs>
          <w:tab w:val="left" w:pos="720" w:leader="none"/>
          <w:tab w:val="left" w:pos="1080" w:leader="none"/>
        </w:tabs>
        <w:ind w:hanging="2880" w:start="3600" w:end="0"/>
        <w:jc w:val="both"/>
        <w:rPr/>
      </w:pPr>
      <w:r>
        <w:rPr/>
        <w:tab/>
        <w:t>Correspondent Bank:</w:t>
        <w:tab/>
        <w:t>Direct via UK Clearing, Chaps. Sort Code: 23-23-23</w:t>
      </w:r>
    </w:p>
    <w:p>
      <w:pPr>
        <w:pStyle w:val="Normal"/>
        <w:tabs>
          <w:tab w:val="left" w:pos="720" w:leader="none"/>
          <w:tab w:val="left" w:pos="1080" w:leader="none"/>
        </w:tabs>
        <w:ind w:hanging="2880" w:start="3600" w:end="0"/>
        <w:jc w:val="both"/>
        <w:rPr/>
      </w:pPr>
      <w:r>
        <w:rPr/>
        <w:tab/>
        <w:t xml:space="preserve">Swift Address: </w:t>
        <w:tab/>
        <w:t>UBSWGB2LXXX</w:t>
      </w:r>
    </w:p>
    <w:p>
      <w:pPr>
        <w:pStyle w:val="Normal"/>
        <w:tabs>
          <w:tab w:val="left" w:pos="720" w:leader="none"/>
          <w:tab w:val="left" w:pos="1080" w:leader="none"/>
        </w:tabs>
        <w:ind w:hanging="2880" w:start="3600" w:end="0"/>
        <w:jc w:val="both"/>
        <w:rPr/>
      </w:pPr>
      <w:r>
        <w:rPr/>
        <w:tab/>
        <w:t xml:space="preserve">Favour: </w:t>
        <w:tab/>
        <w:t>UBS AG, London Branch</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U.S. Dollar Payment Instructions:</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Bank:</w:t>
        <w:tab/>
        <w:t>UBS AG, Stamford</w:t>
      </w:r>
    </w:p>
    <w:p>
      <w:pPr>
        <w:pStyle w:val="Normal"/>
        <w:tabs>
          <w:tab w:val="left" w:pos="720" w:leader="none"/>
          <w:tab w:val="left" w:pos="1080" w:leader="none"/>
        </w:tabs>
        <w:ind w:hanging="2880" w:start="3600" w:end="0"/>
        <w:jc w:val="both"/>
        <w:rPr/>
      </w:pPr>
      <w:r>
        <w:rPr/>
        <w:tab/>
        <w:t>ABA Number:</w:t>
        <w:tab/>
        <w:t>026-007-993</w:t>
      </w:r>
    </w:p>
    <w:p>
      <w:pPr>
        <w:pStyle w:val="Normal"/>
        <w:tabs>
          <w:tab w:val="left" w:pos="720" w:leader="none"/>
          <w:tab w:val="left" w:pos="1080" w:leader="none"/>
        </w:tabs>
        <w:ind w:hanging="2880" w:start="3600" w:end="0"/>
        <w:jc w:val="both"/>
        <w:rPr/>
      </w:pPr>
      <w:r>
        <w:rPr/>
        <w:tab/>
        <w:t>Account Name:</w:t>
        <w:tab/>
        <w:t>UBS AG, London</w:t>
      </w:r>
    </w:p>
    <w:p>
      <w:pPr>
        <w:pStyle w:val="Normal"/>
        <w:tabs>
          <w:tab w:val="left" w:pos="720" w:leader="none"/>
          <w:tab w:val="left" w:pos="1080" w:leader="none"/>
        </w:tabs>
        <w:ind w:hanging="2880" w:start="3600" w:end="0"/>
        <w:jc w:val="both"/>
        <w:rPr/>
      </w:pPr>
      <w:r>
        <w:rPr/>
        <w:tab/>
        <w:t>Account Number:</w:t>
        <w:tab/>
        <w:t>____________</w:t>
      </w:r>
    </w:p>
    <w:p>
      <w:pPr>
        <w:pStyle w:val="StayWithBTI2"/>
        <w:tabs>
          <w:tab w:val="left" w:pos="720" w:leader="none"/>
          <w:tab w:val="left" w:pos="1080" w:leader="none"/>
        </w:tabs>
        <w:spacing w:before="240" w:after="0"/>
        <w:ind w:hanging="2880" w:start="3600" w:end="0"/>
        <w:jc w:val="both"/>
        <w:rPr/>
      </w:pPr>
      <w:r>
        <w:rPr/>
        <w:t>Account Details of Counterparty:</w:t>
        <w:tab/>
      </w:r>
    </w:p>
    <w:p>
      <w:pPr>
        <w:pStyle w:val="StayWithBTI2"/>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Sterling Payment Instructions:</w:t>
      </w:r>
    </w:p>
    <w:p>
      <w:pPr>
        <w:pStyle w:val="Normal"/>
        <w:tabs>
          <w:tab w:val="left" w:pos="720" w:leader="none"/>
          <w:tab w:val="left" w:pos="1080" w:leader="none"/>
        </w:tabs>
        <w:ind w:hanging="2880" w:start="3600" w:end="0"/>
        <w:jc w:val="both"/>
        <w:rPr/>
      </w:pPr>
      <w:r>
        <w:rPr/>
      </w:r>
    </w:p>
    <w:p>
      <w:pPr>
        <w:pStyle w:val="Normal"/>
        <w:tabs>
          <w:tab w:val="left" w:pos="720" w:leader="none"/>
          <w:tab w:val="left" w:pos="1080" w:leader="none"/>
        </w:tabs>
        <w:ind w:hanging="2880" w:start="3600" w:end="0"/>
        <w:jc w:val="both"/>
        <w:rPr/>
      </w:pPr>
      <w:r>
        <w:rPr/>
        <w:tab/>
        <w:t>Bank:</w:t>
        <w:tab/>
        <w:t>National Westminster Bank, London</w:t>
      </w:r>
    </w:p>
    <w:p>
      <w:pPr>
        <w:pStyle w:val="Normal"/>
        <w:tabs>
          <w:tab w:val="left" w:pos="720" w:leader="none"/>
          <w:tab w:val="left" w:pos="1080" w:leader="none"/>
        </w:tabs>
        <w:ind w:hanging="2880" w:start="3600" w:end="0"/>
        <w:jc w:val="both"/>
        <w:rPr/>
      </w:pPr>
      <w:r>
        <w:rPr/>
        <w:tab/>
        <w:t>Sort Code:</w:t>
        <w:tab/>
        <w:t>70-02-25</w:t>
      </w:r>
    </w:p>
    <w:p>
      <w:pPr>
        <w:pStyle w:val="Normal"/>
        <w:tabs>
          <w:tab w:val="left" w:pos="720" w:leader="none"/>
          <w:tab w:val="left" w:pos="1080" w:leader="none"/>
        </w:tabs>
        <w:ind w:hanging="2880" w:start="3600" w:end="0"/>
        <w:jc w:val="both"/>
        <w:rPr/>
      </w:pPr>
      <w:r>
        <w:rPr/>
        <w:tab/>
        <w:t>Account No.:</w:t>
        <w:tab/>
        <w:t>95694137</w:t>
      </w:r>
    </w:p>
    <w:p>
      <w:pPr>
        <w:pStyle w:val="Normal"/>
        <w:tabs>
          <w:tab w:val="left" w:pos="720" w:leader="none"/>
          <w:tab w:val="left" w:pos="1080" w:leader="none"/>
        </w:tabs>
        <w:ind w:hanging="2880" w:start="3600" w:end="0"/>
        <w:jc w:val="both"/>
        <w:rPr/>
      </w:pPr>
      <w:r>
        <w:rPr/>
        <w:tab/>
        <w:t>Account Name:</w:t>
        <w:tab/>
        <w:t>The Bank of New York, London for further credit to _________</w:t>
      </w:r>
    </w:p>
    <w:p>
      <w:pPr>
        <w:pStyle w:val="BodyText"/>
        <w:keepNext w:val="true"/>
        <w:tabs>
          <w:tab w:val="left" w:pos="720" w:leader="none"/>
          <w:tab w:val="left" w:pos="1080" w:leader="none"/>
        </w:tabs>
        <w:ind w:hanging="0" w:end="0"/>
        <w:jc w:val="both"/>
        <w:rPr>
          <w:b/>
        </w:rPr>
      </w:pPr>
      <w:r>
        <w:rPr>
          <w:b/>
        </w:rPr>
        <w:t>5.</w:t>
        <w:tab/>
        <w:t>Failure to Pay Premium</w:t>
      </w:r>
    </w:p>
    <w:p>
      <w:pPr>
        <w:pStyle w:val="BodyText"/>
        <w:tabs>
          <w:tab w:val="left" w:pos="720" w:leader="none"/>
          <w:tab w:val="left" w:pos="1080" w:leader="none"/>
        </w:tabs>
        <w:jc w:val="both"/>
        <w:rPr/>
      </w:pPr>
      <w:r>
        <w:rPr/>
        <w:t>Failure by the Buyer to pay the Premium on the Premium Payment Date shall constitute an Event of Default under the Transaction. If such Event of Default shall occur, the Seller may, at its discretion and at any time after such failure and without prejudice to its other rights under the Master Agreement, by notice in writing terminate this Option, in which event the Buyer agrees to indemnify and hold harmless the Seller against all costs, losses and damages reasonably incurred by the Seller in connection with the Transaction and all other out-of-pocket expenses reasonably incurred by the Seller in connection with all transactions contemplated by the Offering Circular dated______, 2000 (the “Offering Circular”) relating to Counterparty’s ____% Pass-Through Asset Trust Securities Due ______ (the “Certificates”), unless such failure is the result of the failure by the Issuer or Counterparty to comply with any of the conditions to the issuance of the Certificates. The Buyer agrees to pay such costs, losses and damages promptly upon receipt from the Seller of invoices or other evidence reasonably satisfactory to the Buyer setting forth the costs, losses and damages incurred by reason of failure to consummate the transactions contemplated by the Offering Circular.</w:t>
      </w:r>
    </w:p>
    <w:p>
      <w:pPr>
        <w:pStyle w:val="BodyText"/>
        <w:tabs>
          <w:tab w:val="left" w:pos="720" w:leader="none"/>
          <w:tab w:val="left" w:pos="1080" w:leader="none"/>
        </w:tabs>
        <w:ind w:hanging="720" w:start="720" w:end="0"/>
        <w:jc w:val="both"/>
        <w:rPr>
          <w:b/>
        </w:rPr>
      </w:pPr>
      <w:r>
        <w:rPr>
          <w:b/>
        </w:rPr>
        <w:t>6.</w:t>
        <w:tab/>
        <w:t>Termination of Option</w:t>
      </w:r>
    </w:p>
    <w:p>
      <w:pPr>
        <w:pStyle w:val="BodyText"/>
        <w:tabs>
          <w:tab w:val="left" w:pos="720" w:leader="none"/>
          <w:tab w:val="left" w:pos="1080" w:leader="none"/>
        </w:tabs>
        <w:jc w:val="both"/>
        <w:rPr/>
      </w:pPr>
      <w:r>
        <w:rPr/>
        <w:t>If at any time on or prior to the Settlement Date, there has occurred (a) a Conversion Event, (b) a Credit Event or (c) an Other Termination Event, then (i) the Transaction shall terminate, (ii) no amount shall be payable as a result of such termination by either party hereto and (iii) the Buyer shall look solely to the Issuer for compensation under the terms of the confirmation entitled (Option 2 - Company Call Option with UBS) dated the date hereof between the Buyer and the Issuer.</w:t>
      </w:r>
    </w:p>
    <w:p>
      <w:pPr>
        <w:pStyle w:val="BodyText"/>
        <w:tabs>
          <w:tab w:val="left" w:pos="720" w:leader="none"/>
          <w:tab w:val="left" w:pos="1080" w:leader="none"/>
        </w:tabs>
        <w:jc w:val="both"/>
        <w:rPr/>
      </w:pPr>
      <w:r>
        <w:rPr/>
        <w:t>A “Conversion Event” means the declaration, at any time prior to the Settlement Date, of the principal amount of the Bonds to be due and payable immediately in accordance with Section 502 of the Indenture as a result of the occurrence of an Event of Default under the Indenture.</w:t>
      </w:r>
    </w:p>
    <w:p>
      <w:pPr>
        <w:pStyle w:val="BodyText"/>
        <w:tabs>
          <w:tab w:val="left" w:pos="720" w:leader="none"/>
          <w:tab w:val="left" w:pos="1080" w:leader="none"/>
        </w:tabs>
        <w:jc w:val="both"/>
        <w:rPr/>
      </w:pPr>
      <w:r>
        <w:rPr/>
        <w:t>A “Credit Event” shall be deemed to have occurred if at any time on or prior to the Settlement Date, the Issuer or any long-term unsecured and unsubordinated debt issued or guaranteed by the Issuer is (i) rated less than “Baa3” by Moody’s Investors Service, Inc. (“Moody’s”) or less than “BBB-” by Standard &amp; Poor’s Ratings Services, a division of The McGraw-Hill Companies, Inc. (“S&amp;P”), or (ii) not rated by either Moody’s or S&amp;P.</w:t>
      </w:r>
    </w:p>
    <w:p>
      <w:pPr>
        <w:pStyle w:val="BodyText"/>
        <w:tabs>
          <w:tab w:val="left" w:pos="720" w:leader="none"/>
          <w:tab w:val="left" w:pos="1080" w:leader="none"/>
        </w:tabs>
        <w:jc w:val="both"/>
        <w:rPr/>
      </w:pPr>
      <w:r>
        <w:rPr/>
        <w:t>An “Other Termination Event” means any termination of the Remarketing Agreement in accordance with the terms of Section 10(b) or 10(c) thereof.</w:t>
      </w:r>
    </w:p>
    <w:p>
      <w:pPr>
        <w:pStyle w:val="BodyText"/>
        <w:tabs>
          <w:tab w:val="left" w:pos="720" w:leader="none"/>
          <w:tab w:val="left" w:pos="1080" w:leader="none"/>
        </w:tabs>
        <w:ind w:hanging="0" w:end="0"/>
        <w:jc w:val="both"/>
        <w:rPr>
          <w:b/>
        </w:rPr>
      </w:pPr>
      <w:r>
        <w:rPr>
          <w:b/>
        </w:rPr>
        <w:t>7.</w:t>
        <w:tab/>
        <w:t>Non-Petition Covenant</w:t>
      </w:r>
    </w:p>
    <w:p>
      <w:pPr>
        <w:pStyle w:val="BodyText"/>
        <w:tabs>
          <w:tab w:val="left" w:pos="720" w:leader="none"/>
          <w:tab w:val="left" w:pos="1080" w:leader="none"/>
        </w:tabs>
        <w:jc w:val="both"/>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tabs>
          <w:tab w:val="left" w:pos="720" w:leader="none"/>
          <w:tab w:val="left" w:pos="1080" w:leader="none"/>
        </w:tabs>
        <w:ind w:hanging="0" w:end="0"/>
        <w:jc w:val="both"/>
        <w:rPr>
          <w:b/>
        </w:rPr>
      </w:pPr>
      <w:r>
        <w:rPr>
          <w:b/>
        </w:rPr>
        <w:t>8.</w:t>
        <w:tab/>
        <w:t>Limited Obligations</w:t>
      </w:r>
    </w:p>
    <w:p>
      <w:pPr>
        <w:pStyle w:val="BodyText"/>
        <w:tabs>
          <w:tab w:val="left" w:pos="720" w:leader="none"/>
          <w:tab w:val="left" w:pos="1080" w:leader="none"/>
        </w:tabs>
        <w:jc w:val="both"/>
        <w:rPr/>
      </w:pPr>
      <w:r>
        <w:rPr/>
        <w:t>Counterparty shall have no obligations under the Transaction other than to deliver the Bonds in an amount equal to the Aggregate Face Amount of Bonds as set forth above. Upon the termination of the Transaction, except as stated in Section 4 above, neither party shall have any obligations under the Transaction.</w:t>
      </w:r>
    </w:p>
    <w:p>
      <w:pPr>
        <w:pStyle w:val="BodyText"/>
        <w:tabs>
          <w:tab w:val="left" w:pos="720" w:leader="none"/>
          <w:tab w:val="left" w:pos="1080" w:leader="none"/>
        </w:tabs>
        <w:ind w:hanging="720" w:start="720" w:end="0"/>
        <w:jc w:val="both"/>
        <w:rPr>
          <w:b/>
        </w:rPr>
      </w:pPr>
      <w:r>
        <w:rPr>
          <w:b/>
        </w:rPr>
        <w:t>9.</w:t>
        <w:tab/>
        <w:t>Assignment of Option</w:t>
      </w:r>
    </w:p>
    <w:p>
      <w:pPr>
        <w:pStyle w:val="BodyText"/>
        <w:tabs>
          <w:tab w:val="left" w:pos="720" w:leader="none"/>
          <w:tab w:val="left" w:pos="1080" w:leader="none"/>
        </w:tabs>
        <w:jc w:val="both"/>
        <w:rPr/>
      </w:pPr>
      <w:r>
        <w:rPr/>
        <w:t>Counterparty hereby agrees to an assignment of this Option at any time by UBS to the Issuer (and an assumption by the Issuer of the Buyer’s obligations in connection therewith) and, upon notice from UBS of any such assignment, agrees to treat the Issuer as the Buyer hereunder for all purposes.</w:t>
      </w:r>
    </w:p>
    <w:p>
      <w:pPr>
        <w:pStyle w:val="BodyText"/>
        <w:tabs>
          <w:tab w:val="left" w:pos="720" w:leader="none"/>
          <w:tab w:val="left" w:pos="1080" w:leader="none"/>
        </w:tabs>
        <w:ind w:hanging="720" w:start="720" w:end="0"/>
        <w:jc w:val="both"/>
        <w:rPr>
          <w:b/>
        </w:rPr>
      </w:pPr>
      <w:r>
        <w:rPr>
          <w:b/>
        </w:rPr>
        <w:t>10.</w:t>
        <w:tab/>
        <w:t>Condition Precedent</w:t>
      </w:r>
    </w:p>
    <w:p>
      <w:pPr>
        <w:pStyle w:val="BodyText"/>
        <w:tabs>
          <w:tab w:val="left" w:pos="720" w:leader="none"/>
          <w:tab w:val="left" w:pos="1080" w:leader="none"/>
        </w:tabs>
        <w:jc w:val="both"/>
        <w:rPr/>
      </w:pPr>
      <w:r>
        <w:rPr/>
        <w:t>Except as set forth in Section 4 hereof, all payment obligations in connection with the Transaction are subject to the condition that the Certificates and the Bonds each shall have been issued as contemplated by the Offering Circular.</w:t>
      </w:r>
    </w:p>
    <w:p>
      <w:pPr>
        <w:pStyle w:val="BodyText"/>
        <w:tabs>
          <w:tab w:val="left" w:pos="720" w:leader="none"/>
          <w:tab w:val="left" w:pos="1080" w:leader="none"/>
        </w:tabs>
        <w:jc w:val="both"/>
        <w:rPr/>
      </w:pPr>
      <w:r>
        <w:rPr/>
        <w:t>Please confirm that the foregoing correctly sets forth the terms of our agreement by executing this Confirmation and returning it to us. If returned by facsimile transmission, please reply to _________. When sending hard copies, please return them to UBS AG, London Branch, 677 Washington Boulevard, Stamford, Connecticut 06901, Attention:  _______.</w:t>
      </w:r>
      <w:r>
        <w:br w:type="page"/>
      </w:r>
    </w:p>
    <w:p>
      <w:pPr>
        <w:pStyle w:val="BodyText"/>
        <w:tabs>
          <w:tab w:val="left" w:pos="720" w:leader="none"/>
          <w:tab w:val="left" w:pos="1080" w:leader="none"/>
        </w:tabs>
        <w:jc w:val="both"/>
        <w:rPr/>
      </w:pPr>
      <w:r>
        <w:rPr/>
        <w:t>We are happy to have completed this transaction with you.</w:t>
      </w:r>
    </w:p>
    <w:p>
      <w:pPr>
        <w:pStyle w:val="sigline"/>
        <w:tabs>
          <w:tab w:val="clear" w:pos="9216"/>
          <w:tab w:val="left" w:pos="720" w:leader="none"/>
          <w:tab w:val="left" w:pos="1080" w:leader="none"/>
        </w:tabs>
        <w:rPr/>
      </w:pPr>
      <w:r>
        <w:rPr/>
        <w:t>Very truly yours,</w:t>
      </w:r>
    </w:p>
    <w:p>
      <w:pPr>
        <w:pStyle w:val="sigline"/>
        <w:tabs>
          <w:tab w:val="clear" w:pos="9216"/>
          <w:tab w:val="left" w:pos="720" w:leader="none"/>
          <w:tab w:val="left" w:pos="1080" w:leader="none"/>
        </w:tabs>
        <w:spacing w:before="240" w:after="0"/>
        <w:rPr/>
      </w:pPr>
      <w:r>
        <w:rPr/>
        <w:t>UBS AG, London Branch</w:t>
      </w:r>
    </w:p>
    <w:p>
      <w:pPr>
        <w:pStyle w:val="Normal"/>
        <w:keepNext w:val="true"/>
        <w:tabs>
          <w:tab w:val="left" w:pos="720" w:leader="none"/>
          <w:tab w:val="left" w:pos="1080" w:leader="none"/>
        </w:tabs>
        <w:spacing w:before="600" w:after="0"/>
        <w:ind w:hanging="180" w:start="4500" w:end="0"/>
        <w:rPr/>
      </w:pPr>
      <w:r>
        <w:rPr/>
        <w:t>By:</w:t>
      </w:r>
      <w:r>
        <w:rPr>
          <w:u w:val="single"/>
        </w:rPr>
        <w:tab/>
        <w:t>__________________</w:t>
      </w:r>
    </w:p>
    <w:p>
      <w:pPr>
        <w:pStyle w:val="Normal"/>
        <w:keepNext w:val="true"/>
        <w:tabs>
          <w:tab w:val="left" w:pos="720" w:leader="none"/>
          <w:tab w:val="left" w:pos="1080" w:leader="none"/>
        </w:tabs>
        <w:ind w:start="4590" w:end="0"/>
        <w:rPr/>
      </w:pPr>
      <w:r>
        <w:rPr/>
        <w:t>Name:</w:t>
      </w:r>
    </w:p>
    <w:p>
      <w:pPr>
        <w:pStyle w:val="Normal"/>
        <w:tabs>
          <w:tab w:val="left" w:pos="720" w:leader="none"/>
          <w:tab w:val="left" w:pos="1080" w:leader="none"/>
        </w:tabs>
        <w:ind w:start="4590" w:end="0"/>
        <w:rPr/>
      </w:pPr>
      <w:r>
        <w:rPr/>
        <w:t>Title:</w:t>
      </w:r>
    </w:p>
    <w:p>
      <w:pPr>
        <w:pStyle w:val="Normal"/>
        <w:keepNext w:val="true"/>
        <w:tabs>
          <w:tab w:val="left" w:pos="720" w:leader="none"/>
          <w:tab w:val="left" w:pos="1080" w:leader="none"/>
        </w:tabs>
        <w:spacing w:before="600" w:after="0"/>
        <w:ind w:hanging="180" w:start="4500" w:end="0"/>
        <w:rPr/>
      </w:pPr>
      <w:r>
        <w:rPr/>
        <w:t>By:</w:t>
      </w:r>
      <w:r>
        <w:rPr>
          <w:u w:val="single"/>
        </w:rPr>
        <w:tab/>
        <w:t>__________________</w:t>
      </w:r>
    </w:p>
    <w:p>
      <w:pPr>
        <w:pStyle w:val="Normal"/>
        <w:keepNext w:val="true"/>
        <w:tabs>
          <w:tab w:val="left" w:pos="720" w:leader="none"/>
          <w:tab w:val="left" w:pos="1080" w:leader="none"/>
        </w:tabs>
        <w:ind w:start="4590" w:end="0"/>
        <w:rPr/>
      </w:pPr>
      <w:r>
        <w:rPr/>
        <w:t>Name:</w:t>
      </w:r>
    </w:p>
    <w:p>
      <w:pPr>
        <w:pStyle w:val="Normal"/>
        <w:tabs>
          <w:tab w:val="left" w:pos="720" w:leader="none"/>
          <w:tab w:val="left" w:pos="1080" w:leader="none"/>
        </w:tabs>
        <w:ind w:start="4590" w:end="0"/>
        <w:rPr/>
      </w:pPr>
      <w:r>
        <w:rPr/>
        <w:t>Title:</w:t>
      </w:r>
    </w:p>
    <w:p>
      <w:pPr>
        <w:pStyle w:val="Normal12Before"/>
        <w:tabs>
          <w:tab w:val="left" w:pos="720" w:leader="none"/>
          <w:tab w:val="left" w:pos="1080" w:leader="none"/>
        </w:tabs>
        <w:rPr/>
      </w:pPr>
      <w:r>
        <w:rPr/>
        <w:t xml:space="preserve">Accepted and confirmed as of the </w:t>
        <w:br/>
        <w:t>date first above written:</w:t>
      </w:r>
    </w:p>
    <w:p>
      <w:pPr>
        <w:pStyle w:val="Normal12Before"/>
        <w:tabs>
          <w:tab w:val="left" w:pos="720" w:leader="none"/>
          <w:tab w:val="left" w:pos="1080" w:leader="none"/>
        </w:tabs>
        <w:rPr/>
      </w:pPr>
      <w:r>
        <w:rPr/>
        <w:t xml:space="preserve">The Bank of New York, not in its </w:t>
        <w:br/>
        <w:t xml:space="preserve">individual capacity but solely as Trustee of </w:t>
        <w:br/>
        <w:t>the Enron Pass-Through Asset Trust 2000-1</w:t>
      </w:r>
    </w:p>
    <w:p>
      <w:pPr>
        <w:pStyle w:val="Normal"/>
        <w:keepNext w:val="true"/>
        <w:tabs>
          <w:tab w:val="left" w:pos="720" w:leader="none"/>
          <w:tab w:val="left" w:pos="1080" w:leader="none"/>
        </w:tabs>
        <w:spacing w:before="600" w:after="0"/>
        <w:ind w:hanging="180" w:start="180" w:end="0"/>
        <w:rPr/>
      </w:pPr>
      <w:r>
        <w:rPr/>
        <w:t>By:</w:t>
      </w:r>
      <w:r>
        <w:rPr>
          <w:u w:val="single"/>
        </w:rPr>
        <w:tab/>
        <w:t>__________________</w:t>
      </w:r>
    </w:p>
    <w:p>
      <w:pPr>
        <w:pStyle w:val="Normal"/>
        <w:keepNext w:val="true"/>
        <w:tabs>
          <w:tab w:val="left" w:pos="720" w:leader="none"/>
          <w:tab w:val="left" w:pos="1080" w:leader="none"/>
        </w:tabs>
        <w:ind w:start="360" w:end="0"/>
        <w:rPr/>
      </w:pPr>
      <w:r>
        <w:rPr/>
        <w:t>Name:</w:t>
      </w:r>
    </w:p>
    <w:p>
      <w:pPr>
        <w:pStyle w:val="Normal"/>
        <w:tabs>
          <w:tab w:val="left" w:pos="720" w:leader="none"/>
          <w:tab w:val="left" w:pos="1080" w:leader="none"/>
        </w:tabs>
        <w:ind w:start="360" w:end="0"/>
        <w:rPr/>
      </w:pPr>
      <w:r>
        <w:rPr/>
        <w:t>Title:</w:t>
      </w:r>
    </w:p>
    <w:p>
      <w:pPr>
        <w:pStyle w:val="Normal12Before"/>
        <w:tabs>
          <w:tab w:val="left" w:pos="720" w:leader="none"/>
          <w:tab w:val="left" w:pos="1080" w:leader="none"/>
        </w:tabs>
        <w:rPr/>
      </w:pPr>
      <w:r>
        <w:rPr/>
        <w:t xml:space="preserve">Accepted and confirmed with respect to </w:t>
        <w:br/>
        <w:t xml:space="preserve">the Trustee’s obligations under </w:t>
        <w:br/>
        <w:t>“Physical Settlement” above</w:t>
      </w:r>
    </w:p>
    <w:p>
      <w:pPr>
        <w:pStyle w:val="Normal12Before"/>
        <w:tabs>
          <w:tab w:val="left" w:pos="720" w:leader="none"/>
          <w:tab w:val="left" w:pos="1080" w:leader="none"/>
        </w:tabs>
        <w:rPr/>
      </w:pPr>
      <w:r>
        <w:rPr/>
        <w:t>The Bank of New York, not</w:t>
        <w:br/>
        <w:t>in its individual capacity but solely</w:t>
        <w:br/>
        <w:t>as such Trustee</w:t>
      </w:r>
    </w:p>
    <w:p>
      <w:pPr>
        <w:pStyle w:val="Normal"/>
        <w:keepNext w:val="true"/>
        <w:tabs>
          <w:tab w:val="left" w:pos="720" w:leader="none"/>
          <w:tab w:val="left" w:pos="1080" w:leader="none"/>
        </w:tabs>
        <w:spacing w:before="600" w:after="0"/>
        <w:ind w:hanging="180" w:start="180" w:end="0"/>
        <w:rPr/>
      </w:pPr>
      <w:r>
        <w:rPr/>
        <w:t>By:</w:t>
      </w:r>
      <w:r>
        <w:rPr>
          <w:u w:val="single"/>
        </w:rPr>
        <w:tab/>
        <w:t>__________________</w:t>
      </w:r>
    </w:p>
    <w:p>
      <w:pPr>
        <w:pStyle w:val="Normal"/>
        <w:keepNext w:val="true"/>
        <w:tabs>
          <w:tab w:val="left" w:pos="720" w:leader="none"/>
          <w:tab w:val="left" w:pos="1080" w:leader="none"/>
        </w:tabs>
        <w:ind w:start="360" w:end="0"/>
        <w:rPr/>
      </w:pPr>
      <w:r>
        <w:rPr/>
        <w:t>Name:</w:t>
      </w:r>
    </w:p>
    <w:p>
      <w:pPr>
        <w:pStyle w:val="Normal"/>
        <w:tabs>
          <w:tab w:val="left" w:pos="720" w:leader="none"/>
          <w:tab w:val="left" w:pos="1080" w:leader="none"/>
        </w:tabs>
        <w:ind w:start="360" w:end="0"/>
        <w:rPr/>
      </w:pPr>
      <w:r>
        <w:rPr/>
        <w:t>Title: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DocID"/>
      <w:rPr/>
    </w:pPr>
    <w:r>
      <w:rPr/>
      <w:fldChar w:fldCharType="begin"/>
    </w:r>
    <w:r>
      <w:rPr/>
      <w:instrText xml:space="preserve"> KEYWORDS </w:instrText>
    </w:r>
    <w:r>
      <w:rPr/>
      <w:fldChar w:fldCharType="separate"/>
    </w:r>
    <w:r>
      <w:rPr/>
      <w:t>63235561.02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63235561.02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pPr>
    <w:r>
      <w:rPr>
        <w:sz w:val="22"/>
      </w:rPr>
      <w:t>5/20/00</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spacing w:before="360" w:after="0"/>
      <w:jc w:val="center"/>
      <w:outlineLvl w:val="0"/>
    </w:pPr>
    <w:rPr>
      <w:caps/>
      <w:color w:val="0000FF"/>
      <w:kern w:val="2"/>
      <w:sz w:val="24"/>
    </w:rPr>
  </w:style>
  <w:style w:type="paragraph" w:styleId="Sched2">
    <w:name w:val="Sched2"/>
    <w:basedOn w:val="Normal"/>
    <w:qFormat/>
    <w:pPr>
      <w:tabs>
        <w:tab w:val="clear" w:pos="720"/>
        <w:tab w:val="left" w:pos="1814" w:leader="none"/>
      </w:tabs>
      <w:spacing w:before="240" w:after="0"/>
      <w:ind w:firstLine="1440" w:start="0" w:end="0"/>
    </w:pPr>
    <w:rPr>
      <w:sz w:val="24"/>
    </w:rPr>
  </w:style>
  <w:style w:type="paragraph" w:styleId="Sched3">
    <w:name w:val="Sched3"/>
    <w:basedOn w:val="Normal"/>
    <w:qFormat/>
    <w:pPr>
      <w:tabs>
        <w:tab w:val="clear" w:pos="720"/>
        <w:tab w:val="left" w:pos="2635" w:leader="none"/>
      </w:tabs>
      <w:spacing w:before="240" w:after="0"/>
      <w:ind w:firstLine="1440" w:start="720" w:end="0"/>
    </w:pPr>
    <w:rPr>
      <w:sz w:val="24"/>
    </w:rPr>
  </w:style>
  <w:style w:type="paragraph" w:styleId="Sched4">
    <w:name w:val="Sched4"/>
    <w:basedOn w:val="Normal"/>
    <w:qFormat/>
    <w:pPr>
      <w:tabs>
        <w:tab w:val="clear" w:pos="720"/>
        <w:tab w:val="right" w:pos="2880" w:leader="none"/>
      </w:tabs>
      <w:spacing w:before="240" w:after="0"/>
      <w:ind w:hanging="1008" w:start="3168" w:end="0"/>
    </w:pPr>
    <w:rPr>
      <w:sz w:val="24"/>
    </w:rPr>
  </w:style>
  <w:style w:type="paragraph" w:styleId="SchedHead">
    <w:name w:val="SchedHead"/>
    <w:basedOn w:val="Heading1"/>
    <w:qFormat/>
    <w:pPr>
      <w:numPr>
        <w:ilvl w:val="0"/>
        <w:numId w:val="0"/>
      </w:numPr>
      <w:outlineLvl w:val="9"/>
    </w:pPr>
    <w:rPr/>
  </w:style>
  <w:style w:type="paragraph" w:styleId="TOC1">
    <w:name w:val="toc 1"/>
    <w:basedOn w:val="Normal"/>
    <w:next w:val="Normal"/>
    <w:pPr>
      <w:tabs>
        <w:tab w:val="clear" w:pos="720"/>
        <w:tab w:val="right" w:pos="9360" w:leader="dot"/>
      </w:tabs>
      <w:spacing w:before="360" w:after="0"/>
      <w:jc w:val="center"/>
    </w:pPr>
    <w:rPr>
      <w:caps/>
      <w:lang w:val="en-CA"/>
    </w:rPr>
  </w:style>
  <w:style w:type="paragraph" w:styleId="TOC2">
    <w:name w:val="toc 2"/>
    <w:basedOn w:val="Normal"/>
    <w:next w:val="Normal"/>
    <w:pPr>
      <w:tabs>
        <w:tab w:val="clear" w:pos="720"/>
        <w:tab w:val="right" w:pos="9346" w:leader="dot"/>
      </w:tabs>
      <w:spacing w:before="240" w:after="0"/>
      <w:ind w:hanging="1440" w:start="1440" w:end="720"/>
    </w:pPr>
    <w:rPr>
      <w:lang w:val="en-CA"/>
    </w:rPr>
  </w:style>
  <w:style w:type="paragraph" w:styleId="TOC3">
    <w:name w:val="toc 3"/>
    <w:basedOn w:val="Normal"/>
    <w:next w:val="Normal"/>
    <w:pPr>
      <w:tabs>
        <w:tab w:val="clear" w:pos="720"/>
        <w:tab w:val="right" w:pos="9346" w:leader="dot"/>
      </w:tabs>
      <w:ind w:hanging="504" w:start="1944" w:end="720"/>
    </w:pPr>
    <w:rPr>
      <w:lang w:val="en-CA"/>
    </w:rPr>
  </w:style>
  <w:style w:type="paragraph" w:styleId="TOC4">
    <w:name w:val="toc 4"/>
    <w:basedOn w:val="Normal"/>
    <w:next w:val="Normal"/>
    <w:pPr>
      <w:tabs>
        <w:tab w:val="clear" w:pos="720"/>
        <w:tab w:val="right" w:pos="2160" w:leader="none"/>
        <w:tab w:val="right" w:pos="9346" w:leader="dot"/>
      </w:tabs>
      <w:ind w:hanging="979" w:start="2419" w:end="720"/>
    </w:pPr>
    <w:rPr>
      <w:lang w:val="en-CA"/>
    </w:rPr>
  </w:style>
  <w:style w:type="paragraph" w:styleId="TOC5">
    <w:name w:val="toc 5"/>
    <w:basedOn w:val="Normal"/>
    <w:next w:val="Normal"/>
    <w:pPr>
      <w:tabs>
        <w:tab w:val="clear" w:pos="720"/>
        <w:tab w:val="right" w:pos="9346" w:leader="dot"/>
      </w:tabs>
      <w:ind w:hanging="547" w:start="2880" w:end="720"/>
    </w:pPr>
    <w:rPr>
      <w:lang w:val="en-CA"/>
    </w:rPr>
  </w:style>
  <w:style w:type="paragraph" w:styleId="TOC6">
    <w:name w:val="toc 6"/>
    <w:basedOn w:val="Normal"/>
    <w:next w:val="Normal"/>
    <w:pPr>
      <w:tabs>
        <w:tab w:val="clear" w:pos="720"/>
        <w:tab w:val="right" w:pos="9346" w:leader="dot"/>
      </w:tabs>
      <w:ind w:hanging="547" w:start="3427" w:end="720"/>
    </w:pPr>
    <w:rPr>
      <w:lang w:val="en-CA"/>
    </w:rPr>
  </w:style>
  <w:style w:type="paragraph" w:styleId="TOC7">
    <w:name w:val="toc 7"/>
    <w:basedOn w:val="Normal"/>
    <w:next w:val="Normal"/>
    <w:pPr>
      <w:tabs>
        <w:tab w:val="clear" w:pos="720"/>
        <w:tab w:val="right" w:pos="9346" w:leader="dot"/>
      </w:tabs>
      <w:ind w:hanging="533" w:start="3960" w:end="720"/>
    </w:pPr>
    <w:rPr>
      <w:lang w:val="en-CA"/>
    </w:rPr>
  </w:style>
  <w:style w:type="paragraph" w:styleId="TOC8">
    <w:name w:val="toc 8"/>
    <w:basedOn w:val="Normal"/>
    <w:next w:val="Normal"/>
    <w:pPr>
      <w:tabs>
        <w:tab w:val="clear" w:pos="720"/>
        <w:tab w:val="right" w:pos="9346" w:leader="dot"/>
      </w:tabs>
      <w:ind w:hanging="533" w:start="3960" w:end="720"/>
    </w:pPr>
    <w:rPr>
      <w:lang w:val="en-CA"/>
    </w:rPr>
  </w:style>
  <w:style w:type="paragraph" w:styleId="TOC9">
    <w:name w:val="toc 9"/>
    <w:basedOn w:val="Normal"/>
    <w:next w:val="Normal"/>
    <w:pPr>
      <w:tabs>
        <w:tab w:val="clear" w:pos="720"/>
        <w:tab w:val="right" w:pos="9346" w:leader="dot"/>
      </w:tabs>
      <w:ind w:hanging="533" w:start="3960" w:end="720"/>
    </w:pPr>
    <w:rPr>
      <w:lang w:val="en-CA"/>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FootnoteText">
    <w:name w:val="footnote text"/>
    <w:basedOn w:val="Normal"/>
    <w:pPr>
      <w:spacing w:before="60" w:after="0"/>
      <w:ind w:hanging="360" w:start="360" w:end="0"/>
    </w:pPr>
    <w:rPr>
      <w:sz w:val="20"/>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odyTextFirstIndent">
    <w:name w:val="Body Text First Indent"/>
    <w:basedOn w:val="BodyText"/>
    <w:qFormat/>
    <w:pPr>
      <w:spacing w:before="0" w:after="240"/>
      <w:ind w:firstLine="1440" w:start="0" w:end="0"/>
    </w:pPr>
    <w:rPr/>
  </w:style>
  <w:style w:type="paragraph" w:styleId="BodyTextIndent2">
    <w:name w:val="Body Text Indent 2"/>
    <w:basedOn w:val="BodyText"/>
    <w:qFormat/>
    <w:pPr>
      <w:spacing w:before="0" w:after="240"/>
      <w:ind w:hanging="2520" w:start="3240" w:end="0"/>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2000-05-20T18:58:00Z</dcterms:created>
  <dc:creator>Winthrop, Stimson, Putnam &amp; Roberts</dc:creator>
  <dc:description/>
  <cp:keywords>63235561.02</cp:keywords>
  <dc:language>en-CA</dc:language>
  <cp:lastModifiedBy>Winthrop, Stimson, Putnam &amp; Roberts</cp:lastModifiedBy>
  <cp:lastPrinted>2000-05-20T20:34:00Z</cp:lastPrinted>
  <dcterms:modified xsi:type="dcterms:W3CDTF">2000-05-20T22:20:00Z</dcterms:modified>
  <cp:revision>7</cp:revision>
  <dc:subject>v 0.84</dc:subject>
  <dc:title>______, 2000</dc:title>
</cp:coreProperties>
</file>