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Center"/>
        <w:widowControl/>
        <w:rPr>
          <w:rFonts w:ascii="Times New Roman" w:hAnsi="Times New Roman" w:cs="Times New Roman"/>
        </w:rPr>
      </w:pPr>
      <w:r>
        <w:rPr>
          <w:rFonts w:cs="Times New Roman" w:ascii="Times New Roman" w:hAnsi="Times New Roman"/>
        </w:rPr>
        <w:t>BEFORE THE PUBLIC UTILITIES COMMISSION</w:t>
        <w:br/>
        <w:t>OF THE STATE OF CALIFORNIA</w:t>
      </w:r>
    </w:p>
    <w:tbl>
      <w:tblPr>
        <w:tblW w:w="9000" w:type="dxa"/>
        <w:jc w:val="start"/>
        <w:tblInd w:w="0" w:type="dxa"/>
        <w:tblLayout w:type="fixed"/>
        <w:tblCellMar>
          <w:top w:w="0" w:type="dxa"/>
          <w:start w:w="108" w:type="dxa"/>
          <w:bottom w:w="0" w:type="dxa"/>
          <w:end w:w="108" w:type="dxa"/>
        </w:tblCellMar>
      </w:tblPr>
      <w:tblGrid>
        <w:gridCol w:w="4968"/>
        <w:gridCol w:w="432"/>
        <w:gridCol w:w="3600"/>
      </w:tblGrid>
      <w:tr>
        <w:trPr>
          <w:trHeight w:val="1872" w:hRule="atLeast"/>
        </w:trPr>
        <w:tc>
          <w:tcPr>
            <w:tcW w:w="4968" w:type="dxa"/>
            <w:tcBorders>
              <w:bottom w:val="single" w:sz="4" w:space="0" w:color="000000"/>
            </w:tcBorders>
          </w:tcPr>
          <w:p>
            <w:pPr>
              <w:pStyle w:val="FirstBody"/>
              <w:widowControl/>
              <w:rPr>
                <w:rFonts w:ascii="Times New Roman" w:hAnsi="Times New Roman" w:cs="Times New Roman"/>
              </w:rPr>
            </w:pPr>
            <w:r>
              <w:rPr>
                <w:rFonts w:cs="Times New Roman" w:ascii="Times New Roman" w:hAnsi="Times New Roman"/>
              </w:rPr>
              <w:t>Emergency Application of PACIFIC GAS AND</w:t>
            </w:r>
          </w:p>
          <w:p>
            <w:pPr>
              <w:pStyle w:val="Normal"/>
              <w:rPr/>
            </w:pPr>
            <w:r>
              <w:rPr/>
              <w:t>ELECTRIC COMPANY For An Immediate</w:t>
            </w:r>
          </w:p>
          <w:p>
            <w:pPr>
              <w:pStyle w:val="Normal"/>
              <w:rPr/>
            </w:pPr>
            <w:r>
              <w:rPr/>
              <w:t>Finding of a Gas Supply Emergency and an</w:t>
            </w:r>
          </w:p>
          <w:p>
            <w:pPr>
              <w:pStyle w:val="Normal"/>
              <w:rPr/>
            </w:pPr>
            <w:r>
              <w:rPr/>
              <w:t>Order Directing Southern California Gas Company to Provide Mutual Assistance</w:t>
            </w:r>
          </w:p>
          <w:p>
            <w:pPr>
              <w:pStyle w:val="FirstBody"/>
              <w:widowControl/>
              <w:tabs>
                <w:tab w:val="clear" w:pos="720"/>
                <w:tab w:val="center" w:pos="2880" w:leader="none"/>
              </w:tabs>
              <w:rPr>
                <w:rFonts w:ascii="Times New Roman" w:hAnsi="Times New Roman" w:cs="Times New Roman"/>
              </w:rPr>
            </w:pPr>
            <w:r>
              <w:rPr>
                <w:rFonts w:cs="Times New Roman" w:ascii="Times New Roman" w:hAnsi="Times New Roman"/>
              </w:rPr>
              <w:tab/>
              <w:tab/>
              <w:tab/>
            </w:r>
          </w:p>
        </w:tc>
        <w:tc>
          <w:tcPr>
            <w:tcW w:w="432" w:type="dxa"/>
            <w:tcBorders/>
          </w:tcPr>
          <w:p>
            <w:pPr>
              <w:pStyle w:val="body"/>
              <w:spacing w:lineRule="auto" w:line="240"/>
              <w:ind w:hanging="0" w:end="0"/>
              <w:rPr>
                <w:rFonts w:ascii="Times New Roman" w:hAnsi="Times New Roman" w:cs="Times New Roman"/>
              </w:rPr>
            </w:pPr>
            <w:r>
              <w:rPr>
                <w:rFonts w:cs="Times New Roman" w:ascii="Times New Roman" w:hAnsi="Times New Roman"/>
              </w:rPr>
              <w:t>)</w:t>
              <w:br/>
              <w:t>)</w:t>
              <w:br/>
              <w:t>)</w:t>
              <w:br/>
              <w:t>)</w:t>
              <w:br/>
              <w:t>)</w:t>
              <w:br/>
              <w:t>)</w:t>
            </w:r>
          </w:p>
        </w:tc>
        <w:tc>
          <w:tcPr>
            <w:tcW w:w="3600" w:type="dxa"/>
            <w:tcBorders/>
          </w:tcPr>
          <w:p>
            <w:pPr>
              <w:pStyle w:val="FirstBody"/>
              <w:widowControl/>
              <w:tabs>
                <w:tab w:val="clear" w:pos="720"/>
                <w:tab w:val="center" w:pos="1800" w:leader="none"/>
              </w:tabs>
              <w:rPr>
                <w:rFonts w:ascii="Times New Roman" w:hAnsi="Times New Roman" w:cs="Times New Roman"/>
              </w:rPr>
            </w:pPr>
            <w:r>
              <w:rPr>
                <w:rFonts w:cs="Times New Roman" w:ascii="Times New Roman" w:hAnsi="Times New Roman"/>
              </w:rPr>
              <w:br/>
              <w:br/>
              <w:br/>
              <w:br/>
              <w:tab/>
              <w:t>Application No. 01-01-_____</w:t>
            </w:r>
          </w:p>
        </w:tc>
      </w:tr>
    </w:tbl>
    <w:p>
      <w:pPr>
        <w:pStyle w:val="Normal"/>
        <w:rPr>
          <w:rFonts w:ascii="Arial" w:hAnsi="Arial" w:cs="Arial"/>
        </w:rPr>
      </w:pPr>
      <w:r>
        <w:rPr>
          <w:rFonts w:cs="Arial" w:ascii="Arial" w:hAnsi="Arial"/>
        </w:rPr>
      </w:r>
    </w:p>
    <w:p>
      <w:pPr>
        <w:pStyle w:val="Heading1"/>
        <w:spacing w:lineRule="auto" w:line="240" w:before="0" w:after="0"/>
        <w:ind w:hanging="0" w:start="0"/>
        <w:rPr/>
      </w:pPr>
      <w:r>
        <w:rPr/>
        <w:t>Protest of</w:t>
      </w:r>
    </w:p>
    <w:p>
      <w:pPr>
        <w:pStyle w:val="Heading1"/>
        <w:spacing w:lineRule="auto" w:line="240" w:before="0" w:after="0"/>
        <w:ind w:hanging="0" w:start="0"/>
        <w:rPr/>
      </w:pPr>
      <w:r>
        <w:rPr/>
        <w:t>Southern California Gas Company</w:t>
      </w:r>
    </w:p>
    <w:p>
      <w:pPr>
        <w:pStyle w:val="Heading1"/>
        <w:spacing w:lineRule="auto" w:line="240" w:before="0" w:after="0"/>
        <w:ind w:hanging="0" w:start="0"/>
        <w:rPr/>
      </w:pPr>
      <w:r>
        <w:rPr/>
        <w:t xml:space="preserve">to Emergency Application of </w:t>
      </w:r>
    </w:p>
    <w:p>
      <w:pPr>
        <w:pStyle w:val="Heading1"/>
        <w:spacing w:lineRule="auto" w:line="240" w:before="0" w:after="0"/>
        <w:ind w:hanging="0" w:start="0"/>
        <w:rPr/>
      </w:pPr>
      <w:r>
        <w:rPr/>
        <w:t>Pacific Gas and Electric Company</w:t>
      </w:r>
    </w:p>
    <w:p>
      <w:pPr>
        <w:pStyle w:val="Normal"/>
        <w:rPr/>
      </w:pPr>
      <w:r>
        <w:rPr/>
      </w:r>
    </w:p>
    <w:p>
      <w:pPr>
        <w:pStyle w:val="NormalEx24"/>
        <w:ind w:end="-180"/>
        <w:rPr>
          <w:rFonts w:ascii="Times New Roman" w:hAnsi="Times New Roman" w:cs="Times New Roman"/>
        </w:rPr>
      </w:pPr>
      <w:r>
        <w:rPr>
          <w:rFonts w:cs="Times New Roman" w:ascii="Times New Roman" w:hAnsi="Times New Roman"/>
        </w:rPr>
        <w:t xml:space="preserve">Southern California Gas Company (“SoCalGas”) submits this Protest to the Emergency Application of Pacific Gas and Electric Company For an Immediate Finding of a Gas Supply Emergency and an Order Directing Southern California Gas Company to Provide Mutual Assistance (“Application”) filed yesterday, January 18, 2001. </w:t>
      </w:r>
    </w:p>
    <w:p>
      <w:pPr>
        <w:pStyle w:val="NormalEx24"/>
        <w:ind w:end="-180"/>
        <w:rPr/>
      </w:pPr>
      <w:r>
        <w:rPr>
          <w:rFonts w:cs="Times New Roman" w:ascii="Times New Roman" w:hAnsi="Times New Roman"/>
        </w:rPr>
        <w:t xml:space="preserve">SoCalGas has had less than 24 hours to digest and prepare this Protest.  Nevertheless, due to Pacific Gas and Electric Company’s (“PG&amp;E”) urgent request for expedited, </w:t>
      </w:r>
      <w:r>
        <w:rPr>
          <w:rFonts w:cs="Times New Roman" w:ascii="Times New Roman" w:hAnsi="Times New Roman"/>
          <w:i/>
        </w:rPr>
        <w:t>ex parte</w:t>
      </w:r>
      <w:r>
        <w:rPr>
          <w:rFonts w:cs="Times New Roman" w:ascii="Times New Roman" w:hAnsi="Times New Roman"/>
        </w:rPr>
        <w:t xml:space="preserve"> approval of its Application, it is imperative for the Commission to understand four fundamental points before making any decision in haste.  First, PG&amp;E has not exhausted all available means of remedying a gas supply shortfall.  Second, Public Utilities Code Section 2774 applies only to shortages of gas supply or transmission capacity, not a utility’s lack of creditworthiness.  Third, if SoCalGas were to sell any gas to PG&amp;E, the immediate impact on cash flow, as well as PG&amp;E’s imminent bankruptcy, could severely jeopardize SoCalGas’ ability to serve its own customers.  Fourth, a Commission order forcing SoCalGas to sell gas supply to PG&amp;E, which is admittedly insolvent, would constitute an unconstitutional taking of SoCalGas’ property, and in such event, SoCalGas will be compelled to seek injunctive relief via the federal courts.</w:t>
      </w:r>
    </w:p>
    <w:p>
      <w:pPr>
        <w:pStyle w:val="Normal"/>
        <w:spacing w:lineRule="exact" w:line="480"/>
        <w:ind w:firstLine="720" w:end="0"/>
        <w:rPr/>
      </w:pPr>
      <w:r>
        <w:rPr/>
        <w:t>First, PG&amp;E does not allege that it has exhausted all possible remedies and should, before it looks to other utilities’ ratepayers for financial help, actually consider ALL other alternatives.</w:t>
      </w:r>
      <w:r>
        <w:rPr>
          <w:rStyle w:val="FootnoteCharacters"/>
          <w:rStyle w:val="FootnoteReference"/>
        </w:rPr>
        <w:footnoteReference w:id="2"/>
      </w:r>
      <w:r>
        <w:rPr/>
        <w:t xml:space="preserve">  For instance, PG&amp;E’s assertion that “(t)he self-help remedies available to PG&amp;E under its existing tariffs are not adequate to deal with the gas supply emergency facing PG&amp;E’s customers” (Application at 8) is misleading.  While diversion of 100 percent of PG&amp;E’s noncore customers’ gas supplies would indeed be problematic, PG&amp;E has failed to consider partial diversion of noncore supplies as an option.  Under partial diversion, </w:t>
      </w:r>
      <w:r>
        <w:rPr>
          <w:lang w:eastAsia="en-US"/>
        </w:rPr>
        <w:t>PG&amp;E’s suggested flowing supply shortfall of 710 MMcf per day (see Declaration of Kirk Johnson) can be resolved by ordering PG&amp;E’s noncore customers to overdeliver by approximately 35 percent.  In other words, a noncore customer that wants to burn 100 Mcf would be required to deliver (on a temporary basis) 135 Mcf.  PG&amp;E’s noncore customers can then be reimbursed at cost for this overdelivery in the following month when PG&amp;E receives payment from its core customers.  SoCalGas firmly believes that virtually all noncore customers will rationally choose to keep delivering supplies in order to keep operating, as the economic burden on these customers would not be all that large.  For example, if the market price for gas is $13/Mcf, then the noncore customer's cost in the first month would be in effect $17.55.  The increment of $4.55 could be repaid in the subsequent month either as a cash payment or as a credit against the customer’s transportation bill from PG&amp;E.  In effect, presuming PG&amp;E repays its noncore customers, the economic burden on these noncore customers would be one month’s carrying charge on the $4.55 of incremental cost.  One month ago, California experienced a situation with gas costs far above $17.55, yet noncore burn and deliveries stayed at a very high level.</w:t>
      </w:r>
    </w:p>
    <w:p>
      <w:pPr>
        <w:pStyle w:val="Normal"/>
        <w:spacing w:lineRule="exact" w:line="480"/>
        <w:ind w:firstLine="720" w:end="0"/>
        <w:rPr>
          <w:lang w:eastAsia="en-US"/>
        </w:rPr>
      </w:pPr>
      <w:r>
        <w:rPr>
          <w:lang w:eastAsia="en-US"/>
        </w:rPr>
        <w:t>PG&amp;E also neglects to mention that PG&amp;E has approximately 400 MMcfd of California supplies that are connected to its system, which means that these supplies are in effect under the physical control of PG&amp;E as there is no alternative destination for these supplies.  It is not at all clear, and PG&amp;E does not address, why these supplies could not be made to continue to flow into PG&amp;E’s system on behalf of its core customers.</w:t>
      </w:r>
    </w:p>
    <w:p>
      <w:pPr>
        <w:pStyle w:val="NormalEx24"/>
        <w:ind w:end="-180"/>
        <w:rPr/>
      </w:pPr>
      <w:r>
        <w:rPr>
          <w:rFonts w:cs="Times New Roman" w:ascii="Times New Roman" w:hAnsi="Times New Roman"/>
        </w:rPr>
        <w:t xml:space="preserve">Secondly, given that there is a means for PG&amp;E to keep gas flowing through partial diversion, it cannot yet claim a shortage of fuel supply under Public Utilities Code Section 2774 and request the Commission to order SoCalGas to provide supplies to PG&amp;E.  Thus, the Commission cannot use Section 2774 under the present circumstances to compel deliveries from SoCalGas.  Moreover, even if PG&amp;E had exhausted all available options (including those above), Section 2774 was intended to require mutual assistance in the event of a physical shortage of gas or pipeline capacity restraints, not a utility’s inability to procure gas supply due to credit problems.  Section 2774 should be relied upon, “In the event any electrical or gas corporation experiences any </w:t>
      </w:r>
      <w:r>
        <w:rPr>
          <w:rFonts w:cs="Times New Roman" w:ascii="Times New Roman" w:hAnsi="Times New Roman"/>
          <w:u w:val="single"/>
        </w:rPr>
        <w:t>shortage of capacity or capability in the generation, production or transmission of electricity or gas</w:t>
      </w:r>
      <w:r>
        <w:rPr>
          <w:rFonts w:cs="Times New Roman" w:ascii="Times New Roman" w:hAnsi="Times New Roman"/>
        </w:rPr>
        <w:t xml:space="preserve"> and is unable to obtain electricity or gas from any other source” (emphasis added).  Section 2774 further provides that the Commission may “require electrical or gas corporations to mutually assist each other in dealing with </w:t>
      </w:r>
      <w:r>
        <w:rPr>
          <w:rFonts w:cs="Times New Roman" w:ascii="Times New Roman" w:hAnsi="Times New Roman"/>
          <w:u w:val="single"/>
        </w:rPr>
        <w:t>shortages resulting from inadequate fuel supplies</w:t>
      </w:r>
      <w:r>
        <w:rPr>
          <w:rFonts w:cs="Times New Roman" w:ascii="Times New Roman" w:hAnsi="Times New Roman"/>
        </w:rPr>
        <w:t>” (emphasis added).  PG&amp;E has not alleged that its suppliers have no gas to sell or that the pipelines are constrained from transporting sufficient supply, and SoCalGas can verify that there is no lack of physical commodity.  PG&amp;E lacks sufficient credit, plain and simple.</w:t>
      </w:r>
    </w:p>
    <w:p>
      <w:pPr>
        <w:pStyle w:val="NormalEx24"/>
        <w:ind w:end="-180"/>
        <w:rPr>
          <w:rFonts w:ascii="Times New Roman" w:hAnsi="Times New Roman" w:cs="Times New Roman"/>
        </w:rPr>
      </w:pPr>
      <w:r>
        <w:rPr>
          <w:rFonts w:cs="Times New Roman" w:ascii="Times New Roman" w:hAnsi="Times New Roman"/>
        </w:rPr>
        <w:t>In fact, SoCalGas and PG&amp;E are already parties to an Emergency Assistance Agreement dated December 14, 1988, a copy of which is appended to this Protest as Exhibit A.  Under that Agreement, one utility can request core gas supply from the other where core demand exceeds supply (thus, the emergency situation), as contemplated under Section 2774.  That Agreement remains in effect, and SoCalGas would not hesitate to honor PG&amp;E’s request if it were made due to insufficient supply, capacity, or other physical interruption in gas delivery.  Of course, that Agreement also requires PG&amp;E to undertake drastic measures, such as curtailment of its noncore customers, and PG&amp;E has not indicated any willingness to abide by those contractual prerequisites.</w:t>
      </w:r>
    </w:p>
    <w:p>
      <w:pPr>
        <w:pStyle w:val="NormalEx24"/>
        <w:ind w:end="-180"/>
        <w:rPr>
          <w:rFonts w:ascii="Times New Roman" w:hAnsi="Times New Roman" w:cs="Times New Roman"/>
        </w:rPr>
      </w:pPr>
      <w:r>
        <w:rPr>
          <w:rFonts w:cs="Times New Roman" w:ascii="Times New Roman" w:hAnsi="Times New Roman"/>
        </w:rPr>
        <w:t>Thus, while SoCalGas does not intend to downplay the precarious financial strait PG&amp;E is currently facing, PG&amp;E cannot and should not use an emergency assistance statute to call upon another utility to sacrifice its credit and cash flow, thereby placing its own ratepayers at risk.  PG&amp;E does not require help purchasing gas supply.  It simply requires financial credit.  The Commission could just as easily require Pacific Bell and other telecommunications carriers operating within PG&amp;E’s service territory to provide guarantees of PG&amp;E’s gas purchases.  At least in that circumstance, the same group of California customers who face gas shortages would bear the risk of a PG&amp;E bankruptcy.  But for the constitutional grounds set forth below, the Commission cannot order the telephone companies to provide credit to PG&amp;E, just as it cannot order SoCalGas to sacrifice its credit.</w:t>
      </w:r>
    </w:p>
    <w:p>
      <w:pPr>
        <w:pStyle w:val="Normal"/>
        <w:spacing w:lineRule="exact" w:line="480"/>
        <w:ind w:firstLine="720" w:end="0"/>
        <w:rPr/>
      </w:pPr>
      <w:r>
        <w:rPr>
          <w:lang w:eastAsia="en-US"/>
        </w:rPr>
        <w:t xml:space="preserve">Third, PG&amp;E’s request for a Commission order requiring SoCalGas to open its checkbook for PG&amp;E would actually jeopardize SoCalGas’ ability to provide gas to its own customers.  On pp. 2-3 of his Declaration, Mr. Johnson identified approximately 710 MMcfd of PG&amp;E’s existing flowing supply for core customers to be at risk; he also forecast February core load demand to be 1,368 MMcfd.  Depending on PG&amp;E’s January month-end storage level, these figures likely represent the minimum and maximum volumes of gas expected to be procured by SoCalGas on behalf of PG&amp;E’s core (assuming normal weather conditions).  If SoCalGas began delivering gas supplies to PG&amp;E on February 1, 2001, with first payment from PG&amp;E not due until March 25, SoCalGas would be required to assume a credit exposure for PG&amp;E ranging from $0.5 to $1.0 billion or more, based on the current $13/Dth price for California border gas.  This credit exposure exceeds that currently granted to SoCalGas by its gas suppliers, and would likely cause many of these suppliers to suspend their sales to SoCalGas as they have threatened to do and already done to PG&amp;E.  This scenario is not acceptable to SoCalGas in the middle of </w:t>
      </w:r>
      <w:r>
        <w:rPr>
          <w:u w:val="single"/>
          <w:lang w:eastAsia="en-US"/>
        </w:rPr>
        <w:t>its</w:t>
      </w:r>
      <w:r>
        <w:rPr>
          <w:lang w:eastAsia="en-US"/>
        </w:rPr>
        <w:t xml:space="preserve"> peak core demand season, at a time when system storage inventories are 29 Bcf below last year and tighter noncore balancing rules have just been implemented for the remainder of winter to protect remaining core inventory.</w:t>
      </w:r>
      <w:r>
        <w:rPr>
          <w:color w:val="000000"/>
          <w:lang w:eastAsia="en-US"/>
        </w:rPr>
        <w:t xml:space="preserve">  </w:t>
      </w:r>
      <w:r>
        <w:rPr>
          <w:lang w:eastAsia="en-US"/>
        </w:rPr>
        <w:t>These concerns, combined with</w:t>
      </w:r>
      <w:r>
        <w:rPr/>
        <w:t xml:space="preserve"> the likelihood of PG&amp;E’s bankruptcy, gives SoCalGas ample reason not to sell any gas to PG&amp;E in the event of an order falling under the auspices of Section 2774, because of the jeopardy such a sale would place on SoCalGas’ ratepayers. </w:t>
      </w:r>
    </w:p>
    <w:p>
      <w:pPr>
        <w:pStyle w:val="NormalEx24"/>
        <w:ind w:end="-180"/>
        <w:rPr/>
      </w:pPr>
      <w:r>
        <w:rPr>
          <w:rFonts w:cs="Times New Roman" w:ascii="Times New Roman" w:hAnsi="Times New Roman"/>
        </w:rPr>
        <w:t xml:space="preserve">Last, but certainly not least, is the fact that an order to compel SoCalGas to sell gas to PG&amp;E in its current illiquid position would constitute a “taking” of property without just compensation as under the Fifth and Fourteenth Amendments of the U.S. Constitution.  Whether SoCalGas were ordered to sell gas to PG&amp;E by the Commission under Public Utilities Code Section 2774, or by the Governor in his exercise of emergency powers under Government Code Section 8550, </w:t>
      </w:r>
      <w:r>
        <w:rPr>
          <w:rFonts w:cs="Times New Roman" w:ascii="Times New Roman" w:hAnsi="Times New Roman"/>
          <w:i/>
        </w:rPr>
        <w:t>et seq.</w:t>
      </w:r>
      <w:r>
        <w:rPr>
          <w:rFonts w:cs="Times New Roman" w:ascii="Times New Roman" w:hAnsi="Times New Roman"/>
        </w:rPr>
        <w:t>, SoCalGas would be entitled to just compensation.  PG&amp;E, by its own admission, is insolvent.  Item 5, Section B., of PG&amp;E’s Form 8-K filed with the Securities and Exchange Commission (SEC) on January 17, 2001 (and attached to PG&amp;E’s Application) indicates that PG&amp;E has $700 million in cash reserves.  Unfortunately, PG&amp;E also owes $583 million to the California Independent System Operator, $100 million to the California Power Exchange, and $420 million to qualifying generators, all of which are due by early to mid February.  Based on PG&amp;E’s SEC Form 8-K, it is inevitable that PG&amp;E will either file or be forced into bankruptcy before any payment to SoCalGas would be due.  Once PG&amp;E files for bankruptcy protection under Chapter 11 of the U.S. Bankruptcy Code, SoCalGas’ claim for payment on its gas delivery will be stayed.  PG&amp;E does not have enough assets to cover its liability, and SoCalGas would end up losing most, if not all, of what PG&amp;E would owe for the emergency supplies.  Thus, a commitment to pay from PG&amp;E is worth nothing, as reflected by the number of other gas suppliers’ refusal to sell PG&amp;E gas.  That kind of empty promise does not, under any stretch of the imagination, comprise just compensation due under the Constitution.  For that reason, if the Commission approves PG&amp;E’s Application, SoCalGas will seek a temporary restraining order from the U.S. District Court barring the effectiveness of any such Commission decision.  SoCalGas is hopeful that the Commission would recognize the illegality of forced compulsion to sell to a virtually-bankrupt buyer and deny PG&amp;E’s Application.</w:t>
      </w:r>
    </w:p>
    <w:p>
      <w:pPr>
        <w:pStyle w:val="NormalEx24"/>
        <w:ind w:end="-180"/>
        <w:rPr/>
      </w:pPr>
      <w:r>
        <w:rPr>
          <w:rFonts w:cs="Times New Roman" w:ascii="Times New Roman" w:hAnsi="Times New Roman"/>
        </w:rPr>
        <w:t xml:space="preserve">At a minimum, in order for the Commission to seriously consider whether it will order a taking of property from SoCalGas, the Commission should order hearings and not approve PG&amp;E’s Application on an </w:t>
      </w:r>
      <w:r>
        <w:rPr>
          <w:rFonts w:cs="Times New Roman" w:ascii="Times New Roman" w:hAnsi="Times New Roman"/>
          <w:i/>
        </w:rPr>
        <w:t>ex parte</w:t>
      </w:r>
      <w:r>
        <w:rPr>
          <w:rFonts w:cs="Times New Roman" w:ascii="Times New Roman" w:hAnsi="Times New Roman"/>
        </w:rPr>
        <w:t xml:space="preserve"> basis.  According to </w:t>
      </w:r>
      <w:r>
        <w:rPr>
          <w:rFonts w:cs="Times New Roman" w:ascii="Times New Roman" w:hAnsi="Times New Roman"/>
          <w:i/>
        </w:rPr>
        <w:t>Gas Daily</w:t>
      </w:r>
      <w:r>
        <w:rPr>
          <w:rFonts w:cs="Times New Roman" w:ascii="Times New Roman" w:hAnsi="Times New Roman"/>
        </w:rPr>
        <w:t>, PG&amp;E has said that as of January 18, 2001, “it does not expect it will need to interrupt deliveries to non-core gas customers within the next two weeks.”</w:t>
      </w:r>
    </w:p>
    <w:p>
      <w:pPr>
        <w:pStyle w:val="NormalEx24"/>
        <w:ind w:end="-180"/>
        <w:rPr>
          <w:rFonts w:ascii="Times New Roman" w:hAnsi="Times New Roman" w:cs="Times New Roman"/>
        </w:rPr>
      </w:pPr>
      <w:r>
        <w:rPr>
          <w:rFonts w:cs="Times New Roman" w:ascii="Times New Roman" w:hAnsi="Times New Roman"/>
        </w:rPr>
        <w:t>In conclusion, beyond the lack of constitutional basis therefor, ordering SoCalGas to sell gas to PG&amp;E on a so-called emergency basis is no panacea to PG&amp;E’s financial inability to buy gas and would only exacerbate the energy crisis by plunging SoCalGas into the same dire straits as PG&amp;E and Southern California Edison Company.  Placing SoCalGas in the position of banker when the risk of total loss is almost a foregone conclusion is simply unconscionable.  There is no policy reason for such forced risk-taking when SoCalGas’ supply cannot solve PG&amp;E’s problems.  A comprehensive solution is necessary, not this sort of quick fix by placing the burden on another utility.</w:t>
      </w:r>
    </w:p>
    <w:p>
      <w:pPr>
        <w:pStyle w:val="BodyTextIndent"/>
        <w:rPr/>
      </w:pPr>
      <w:r>
        <w:rPr/>
        <w:t>Dated at Los Angeles, California, this 19</w:t>
      </w:r>
      <w:r>
        <w:rPr>
          <w:vertAlign w:val="superscript"/>
        </w:rPr>
        <w:t>th</w:t>
      </w:r>
      <w:r>
        <w:rPr/>
        <w:t xml:space="preserve"> day of January 2001.</w:t>
      </w:r>
    </w:p>
    <w:p>
      <w:pPr>
        <w:pStyle w:val="Normal"/>
        <w:spacing w:before="120" w:after="0"/>
        <w:ind w:start="3960" w:end="0"/>
        <w:rPr/>
      </w:pPr>
      <w:r>
        <w:rPr/>
        <w:t>Respectfully submitted,</w:t>
      </w:r>
    </w:p>
    <w:p>
      <w:pPr>
        <w:pStyle w:val="Normal"/>
        <w:ind w:start="3960" w:end="0"/>
        <w:rPr/>
      </w:pPr>
      <w:r>
        <w:rPr/>
      </w:r>
    </w:p>
    <w:p>
      <w:pPr>
        <w:pStyle w:val="Normal"/>
        <w:ind w:start="3960" w:end="0"/>
        <w:rPr/>
      </w:pPr>
      <w:r>
        <w:rPr/>
      </w:r>
    </w:p>
    <w:p>
      <w:pPr>
        <w:pStyle w:val="Normal"/>
        <w:ind w:start="3960" w:end="0"/>
        <w:rPr/>
      </w:pPr>
      <w:r>
        <w:rPr/>
        <w:t>SOUTHERN CALIFORNIA GAS COMPANY</w:t>
      </w:r>
    </w:p>
    <w:p>
      <w:pPr>
        <w:pStyle w:val="Normal"/>
        <w:ind w:start="3960" w:end="0"/>
        <w:rPr/>
      </w:pPr>
      <w:r>
        <w:rPr/>
      </w:r>
    </w:p>
    <w:p>
      <w:pPr>
        <w:pStyle w:val="Normal"/>
        <w:ind w:start="3960" w:end="0"/>
        <w:rPr/>
      </w:pPr>
      <w:r>
        <w:rPr/>
      </w:r>
    </w:p>
    <w:p>
      <w:pPr>
        <w:pStyle w:val="Normal"/>
        <w:ind w:start="3960" w:end="0"/>
        <w:rPr/>
      </w:pPr>
      <w:r>
        <w:rPr/>
      </w:r>
    </w:p>
    <w:p>
      <w:pPr>
        <w:pStyle w:val="Normal"/>
        <w:tabs>
          <w:tab w:val="clear" w:pos="720"/>
          <w:tab w:val="right" w:pos="8550" w:leader="none"/>
        </w:tabs>
        <w:ind w:start="3960" w:end="0"/>
        <w:rPr/>
      </w:pPr>
      <w:r>
        <w:rPr/>
        <w:t xml:space="preserve">By: </w:t>
      </w:r>
      <w:r>
        <w:rPr>
          <w:u w:val="single"/>
        </w:rPr>
        <w:tab/>
      </w:r>
    </w:p>
    <w:p>
      <w:pPr>
        <w:pStyle w:val="Normal"/>
        <w:tabs>
          <w:tab w:val="clear" w:pos="720"/>
          <w:tab w:val="left" w:pos="5220" w:leader="none"/>
        </w:tabs>
        <w:ind w:start="3960" w:end="0"/>
        <w:rPr/>
      </w:pPr>
      <w:r>
        <w:rPr/>
        <w:tab/>
        <w:t>Judith L. Young</w:t>
      </w:r>
    </w:p>
    <w:p>
      <w:pPr>
        <w:pStyle w:val="Normal"/>
        <w:tabs>
          <w:tab w:val="clear" w:pos="720"/>
          <w:tab w:val="left" w:pos="5220" w:leader="none"/>
        </w:tabs>
        <w:ind w:start="3960" w:end="0"/>
        <w:rPr/>
      </w:pPr>
      <w:r>
        <w:rPr/>
        <w:tab/>
      </w:r>
    </w:p>
    <w:p>
      <w:pPr>
        <w:pStyle w:val="Normal"/>
        <w:spacing w:before="40" w:after="0"/>
        <w:ind w:start="3960" w:end="0"/>
        <w:rPr/>
      </w:pPr>
      <w:r>
        <w:rPr/>
        <w:t>DAVID B. FOLLETT</w:t>
      </w:r>
    </w:p>
    <w:p>
      <w:pPr>
        <w:pStyle w:val="PLDRegularLeft"/>
        <w:spacing w:lineRule="auto" w:line="240" w:before="40" w:after="0"/>
        <w:ind w:start="3960" w:end="0"/>
        <w:rPr>
          <w:rFonts w:ascii="Times New Roman" w:hAnsi="Times New Roman" w:cs="Times New Roman"/>
        </w:rPr>
      </w:pPr>
      <w:r>
        <w:rPr>
          <w:rFonts w:cs="Times New Roman" w:ascii="Times New Roman" w:hAnsi="Times New Roman"/>
        </w:rPr>
        <w:t>JUDITH L. YOUNG</w:t>
      </w:r>
    </w:p>
    <w:p>
      <w:pPr>
        <w:pStyle w:val="PLDRegularLeft"/>
        <w:spacing w:lineRule="auto" w:line="240" w:before="40" w:after="0"/>
        <w:ind w:start="3960" w:end="0"/>
        <w:rPr>
          <w:rFonts w:ascii="Times New Roman" w:hAnsi="Times New Roman" w:cs="Times New Roman"/>
        </w:rPr>
      </w:pPr>
      <w:r>
        <w:rPr>
          <w:rFonts w:cs="Times New Roman" w:ascii="Times New Roman" w:hAnsi="Times New Roman"/>
        </w:rPr>
      </w:r>
    </w:p>
    <w:p>
      <w:pPr>
        <w:pStyle w:val="Normal"/>
        <w:ind w:start="3960" w:end="0"/>
        <w:rPr/>
      </w:pPr>
      <w:r>
        <w:rPr/>
        <w:t>Attorneys for</w:t>
      </w:r>
    </w:p>
    <w:p>
      <w:pPr>
        <w:pStyle w:val="Normal"/>
        <w:ind w:start="3960" w:end="0"/>
        <w:rPr/>
      </w:pPr>
      <w:r>
        <w:rPr/>
        <w:t>SOUTHERN CALIFORNIA GAS COMPANY</w:t>
      </w:r>
    </w:p>
    <w:p>
      <w:pPr>
        <w:pStyle w:val="Normal"/>
        <w:ind w:start="3960" w:end="0"/>
        <w:rPr/>
      </w:pPr>
      <w:r>
        <w:rPr/>
        <w:t>555 West Fifth Street, 14</w:t>
      </w:r>
      <w:r>
        <w:rPr>
          <w:vertAlign w:val="superscript"/>
        </w:rPr>
        <w:t>TH</w:t>
      </w:r>
      <w:r>
        <w:rPr/>
        <w:t xml:space="preserve"> Floor</w:t>
      </w:r>
    </w:p>
    <w:p>
      <w:pPr>
        <w:pStyle w:val="Normal"/>
        <w:ind w:start="3960" w:end="0"/>
        <w:rPr/>
      </w:pPr>
      <w:r>
        <w:rPr/>
        <w:t>Los Angeles, California 90013-1011</w:t>
      </w:r>
    </w:p>
    <w:p>
      <w:pPr>
        <w:pStyle w:val="Normal"/>
        <w:ind w:start="3960" w:end="0"/>
        <w:rPr/>
      </w:pPr>
      <w:r>
        <w:rPr/>
        <w:t>Telephone:  (213) 244-2955</w:t>
      </w:r>
    </w:p>
    <w:p>
      <w:pPr>
        <w:pStyle w:val="Normal"/>
        <w:ind w:start="3960" w:end="0"/>
        <w:rPr/>
      </w:pPr>
      <w:r>
        <w:rPr/>
        <w:t>Facsimile:   (213) 629-9620</w:t>
      </w:r>
    </w:p>
    <w:p>
      <w:pPr>
        <w:pStyle w:val="Normal"/>
        <w:tabs>
          <w:tab w:val="left" w:pos="720" w:leader="none"/>
          <w:tab w:val="left" w:pos="1440" w:leader="none"/>
          <w:tab w:val="left" w:pos="3960" w:leader="none"/>
        </w:tabs>
        <w:ind w:start="3960" w:end="0"/>
        <w:rPr/>
      </w:pPr>
      <w:r>
        <w:rPr/>
        <w:t>E-mail:  jlyoung@sempra.com</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PG&amp;E states in its Application at 7, “Before filing this Application, PG&amp;E pursued many other alternatives.”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exact" w:line="240" w:before="0" w:after="240"/>
      <w:jc w:val="center"/>
      <w:outlineLvl w:val="0"/>
    </w:pPr>
    <w:rPr>
      <w:b/>
      <w:smallCaps/>
      <w:sz w:val="26"/>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TOC1">
    <w:name w:val="toc 1"/>
    <w:basedOn w:val="Normal"/>
    <w:next w:val="Normal"/>
    <w:pPr>
      <w:spacing w:lineRule="auto" w:line="360"/>
      <w:jc w:val="center"/>
    </w:pPr>
    <w:rPr>
      <w:b/>
      <w:caps/>
      <w:sz w:val="26"/>
    </w:rPr>
  </w:style>
  <w:style w:type="paragraph" w:styleId="Email">
    <w:name w:val="Email"/>
    <w:basedOn w:val="Normal"/>
    <w:qFormat/>
    <w:pPr/>
    <w:rPr>
      <w:rFonts w:ascii="Century Schoolbook" w:hAnsi="Century Schoolbook" w:cs="Century Schoolbook"/>
      <w:sz w:val="20"/>
    </w:rPr>
  </w:style>
  <w:style w:type="paragraph" w:styleId="body">
    <w:name w:val="body"/>
    <w:basedOn w:val="Normal"/>
    <w:qFormat/>
    <w:pPr>
      <w:widowControl w:val="false"/>
      <w:spacing w:lineRule="auto" w:line="480"/>
      <w:ind w:firstLine="720" w:start="0" w:end="0"/>
    </w:pPr>
    <w:rPr>
      <w:rFonts w:ascii="Courier New" w:hAnsi="Courier New" w:cs="Courier New"/>
    </w:rPr>
  </w:style>
  <w:style w:type="paragraph" w:styleId="CapCenter">
    <w:name w:val="CapCenter"/>
    <w:basedOn w:val="Normal"/>
    <w:next w:val="Normal"/>
    <w:qFormat/>
    <w:pPr>
      <w:widowControl w:val="false"/>
      <w:spacing w:before="0" w:after="360"/>
      <w:jc w:val="center"/>
    </w:pPr>
    <w:rPr>
      <w:rFonts w:ascii="Courier New" w:hAnsi="Courier New" w:cs="Courier New"/>
      <w:b/>
      <w:caps/>
    </w:rPr>
  </w:style>
  <w:style w:type="paragraph" w:styleId="FirstBody">
    <w:name w:val="FirstBody"/>
    <w:basedOn w:val="Normal"/>
    <w:next w:val="body"/>
    <w:qFormat/>
    <w:pPr>
      <w:widowControl w:val="false"/>
    </w:pPr>
    <w:rPr>
      <w:rFonts w:ascii="Courier New" w:hAnsi="Courier New" w:cs="Courier New"/>
    </w:rPr>
  </w:style>
  <w:style w:type="paragraph" w:styleId="FootnoteText">
    <w:name w:val="footnote text"/>
    <w:basedOn w:val="Normal"/>
    <w:pPr>
      <w:widowControl w:val="false"/>
      <w:ind w:hanging="360" w:start="360" w:end="0"/>
    </w:pPr>
    <w:rPr>
      <w:rFonts w:ascii="Arial" w:hAnsi="Arial" w:cs="Arial"/>
      <w:sz w:val="20"/>
    </w:rPr>
  </w:style>
  <w:style w:type="paragraph" w:styleId="NormalEx24">
    <w:name w:val="NormalEx24"/>
    <w:basedOn w:val="Normal"/>
    <w:qFormat/>
    <w:pPr>
      <w:widowControl w:val="false"/>
      <w:spacing w:lineRule="auto" w:line="480"/>
      <w:ind w:firstLine="720" w:start="0" w:end="0"/>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DRegularLeft">
    <w:name w:val="PLD Regular Left"/>
    <w:basedOn w:val="Normal"/>
    <w:qFormat/>
    <w:pPr>
      <w:spacing w:lineRule="exact" w:line="480"/>
    </w:pPr>
    <w:rPr>
      <w:rFonts w:ascii="Courier;Courier New" w:hAnsi="Courier;Courier New" w:cs="Courier;Courier New"/>
    </w:rPr>
  </w:style>
  <w:style w:type="paragraph" w:styleId="BodyTextIndent">
    <w:name w:val="Body Text Indent"/>
    <w:basedOn w:val="Normal"/>
    <w:pPr>
      <w:spacing w:lineRule="auto" w:line="36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2001-01-19T15:35:00Z</dcterms:created>
  <dc:creator>SEMPRA ENERGY</dc:creator>
  <dc:description/>
  <dc:language>en-CA</dc:language>
  <cp:lastModifiedBy>SEMPRA ENERGY</cp:lastModifiedBy>
  <cp:lastPrinted>2001-01-19T16:30:00Z</cp:lastPrinted>
  <dcterms:modified xsi:type="dcterms:W3CDTF">2001-01-19T22:04:00Z</dcterms:modified>
  <cp:revision>29</cp:revision>
  <dc:subject/>
  <dc:title>BEFORE THE PUBLIC UTILITIES COMMISSION</dc:title>
</cp:coreProperties>
</file>