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1139190" cy="11347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p>
      <w:pPr>
        <w:pStyle w:val="Heading"/>
        <w:rPr/>
      </w:pPr>
      <w:r>
        <w:rPr/>
      </w:r>
    </w:p>
    <w:p>
      <w:pPr>
        <w:pStyle w:val="Heading"/>
        <w:rPr/>
      </w:pPr>
      <w:r>
        <w:rPr/>
      </w:r>
    </w:p>
    <w:p>
      <w:pPr>
        <w:pStyle w:val="Heading"/>
        <w:rPr/>
      </w:pPr>
      <w:r>
        <w:rPr/>
      </w:r>
    </w:p>
    <w:p>
      <w:pPr>
        <w:pStyle w:val="Heading"/>
        <w:rPr/>
      </w:pPr>
      <w:r>
        <w:rPr/>
      </w:r>
    </w:p>
    <w:p>
      <w:pPr>
        <w:pStyle w:val="Heading"/>
        <w:rPr/>
      </w:pPr>
      <w:r>
        <w:rPr/>
      </w:r>
    </w:p>
    <w:tbl>
      <w:tblPr>
        <w:tblW w:w="10398" w:type="dxa"/>
        <w:jc w:val="start"/>
        <w:tblInd w:w="200" w:type="dxa"/>
        <w:tblLayout w:type="fixed"/>
        <w:tblCellMar>
          <w:top w:w="0" w:type="dxa"/>
          <w:start w:w="108" w:type="dxa"/>
          <w:bottom w:w="0" w:type="dxa"/>
          <w:end w:w="108" w:type="dxa"/>
        </w:tblCellMar>
      </w:tblPr>
      <w:tblGrid>
        <w:gridCol w:w="708"/>
        <w:gridCol w:w="6045"/>
        <w:gridCol w:w="990"/>
        <w:gridCol w:w="2655"/>
      </w:tblGrid>
      <w:tr>
        <w:trPr>
          <w:trHeight w:val="300" w:hRule="exact"/>
        </w:trPr>
        <w:tc>
          <w:tcPr>
            <w:tcW w:w="708" w:type="dxa"/>
            <w:tcBorders/>
          </w:tcPr>
          <w:p>
            <w:pPr>
              <w:pStyle w:val="Normal"/>
              <w:spacing w:before="0" w:after="240"/>
              <w:ind w:start="-180" w:end="0"/>
              <w:jc w:val="end"/>
              <w:rPr>
                <w:sz w:val="16"/>
              </w:rPr>
            </w:pPr>
            <w:r>
              <w:rPr>
                <w:sz w:val="16"/>
              </w:rPr>
              <w:t>To:</w:t>
            </w:r>
          </w:p>
        </w:tc>
        <w:tc>
          <w:tcPr>
            <w:tcW w:w="6045" w:type="dxa"/>
            <w:tcBorders/>
          </w:tcPr>
          <w:p>
            <w:pPr>
              <w:pStyle w:val="To"/>
              <w:snapToGrid w:val="false"/>
              <w:spacing w:before="0" w:after="240"/>
              <w:rPr>
                <w:sz w:val="16"/>
              </w:rPr>
            </w:pPr>
            <w:r>
              <w:rPr>
                <w:sz w:val="16"/>
              </w:rPr>
            </w:r>
          </w:p>
        </w:tc>
        <w:tc>
          <w:tcPr>
            <w:tcW w:w="990" w:type="dxa"/>
            <w:tcBorders/>
          </w:tcPr>
          <w:p>
            <w:pPr>
              <w:pStyle w:val="Normal"/>
              <w:snapToGrid w:val="false"/>
              <w:spacing w:before="0" w:after="240"/>
              <w:ind w:start="-180" w:end="0"/>
              <w:rPr/>
            </w:pPr>
            <w:r>
              <w:rPr/>
            </w:r>
          </w:p>
        </w:tc>
        <w:tc>
          <w:tcPr>
            <w:tcW w:w="2655" w:type="dxa"/>
            <w:tcBorders/>
          </w:tcPr>
          <w:p>
            <w:pPr>
              <w:pStyle w:val="Normal"/>
              <w:snapToGrid w:val="false"/>
              <w:spacing w:before="0" w:after="240"/>
              <w:rPr/>
            </w:pPr>
            <w:r>
              <w:rPr/>
            </w:r>
          </w:p>
        </w:tc>
      </w:tr>
      <w:tr>
        <w:trPr>
          <w:trHeight w:val="216" w:hRule="exact"/>
        </w:trPr>
        <w:tc>
          <w:tcPr>
            <w:tcW w:w="708" w:type="dxa"/>
            <w:tcBorders/>
          </w:tcPr>
          <w:p>
            <w:pPr>
              <w:pStyle w:val="Normal"/>
              <w:spacing w:before="0" w:after="240"/>
              <w:jc w:val="end"/>
              <w:rPr>
                <w:sz w:val="16"/>
              </w:rPr>
            </w:pPr>
            <w:r>
              <w:rPr>
                <w:sz w:val="16"/>
              </w:rPr>
              <w:t>Cc:</w:t>
            </w:r>
          </w:p>
        </w:tc>
        <w:tc>
          <w:tcPr>
            <w:tcW w:w="6045" w:type="dxa"/>
            <w:tcBorders/>
          </w:tcPr>
          <w:p>
            <w:pPr>
              <w:pStyle w:val="To"/>
              <w:snapToGrid w:val="false"/>
              <w:rPr>
                <w:sz w:val="16"/>
              </w:rPr>
            </w:pPr>
            <w:r>
              <w:rPr>
                <w:sz w:val="16"/>
              </w:rPr>
            </w:r>
          </w:p>
          <w:p>
            <w:pPr>
              <w:pStyle w:val="To"/>
              <w:rPr/>
            </w:pPr>
            <w:r>
              <w:rPr/>
            </w:r>
          </w:p>
          <w:p>
            <w:pPr>
              <w:pStyle w:val="To"/>
              <w:spacing w:before="0" w:after="240"/>
              <w:rPr/>
            </w:pPr>
            <w:r>
              <w:rPr/>
            </w:r>
          </w:p>
        </w:tc>
        <w:tc>
          <w:tcPr>
            <w:tcW w:w="990" w:type="dxa"/>
            <w:tcBorders/>
          </w:tcPr>
          <w:p>
            <w:pPr>
              <w:pStyle w:val="To"/>
              <w:snapToGrid w:val="false"/>
              <w:spacing w:before="0" w:after="240"/>
              <w:rPr/>
            </w:pPr>
            <w:r>
              <w:rPr/>
            </w:r>
          </w:p>
        </w:tc>
        <w:tc>
          <w:tcPr>
            <w:tcW w:w="2655" w:type="dxa"/>
            <w:tcBorders/>
          </w:tcPr>
          <w:p>
            <w:pPr>
              <w:pStyle w:val="To"/>
              <w:snapToGrid w:val="false"/>
              <w:spacing w:before="0" w:after="240"/>
              <w:rPr/>
            </w:pPr>
            <w:r>
              <w:rPr/>
            </w:r>
          </w:p>
        </w:tc>
      </w:tr>
      <w:tr>
        <w:trPr>
          <w:trHeight w:val="300" w:hRule="exact"/>
        </w:trPr>
        <w:tc>
          <w:tcPr>
            <w:tcW w:w="708" w:type="dxa"/>
            <w:tcBorders/>
          </w:tcPr>
          <w:p>
            <w:pPr>
              <w:pStyle w:val="Normal"/>
              <w:spacing w:before="0" w:after="240"/>
              <w:jc w:val="end"/>
              <w:rPr>
                <w:sz w:val="16"/>
              </w:rPr>
            </w:pPr>
            <w:r>
              <w:rPr>
                <w:sz w:val="16"/>
              </w:rPr>
              <w:t>From:</w:t>
            </w:r>
          </w:p>
        </w:tc>
        <w:tc>
          <w:tcPr>
            <w:tcW w:w="6045" w:type="dxa"/>
            <w:tcBorders/>
          </w:tcPr>
          <w:p>
            <w:pPr>
              <w:pStyle w:val="From"/>
              <w:snapToGrid w:val="false"/>
              <w:spacing w:before="0" w:after="240"/>
              <w:rPr>
                <w:sz w:val="16"/>
              </w:rPr>
            </w:pPr>
            <w:r>
              <w:rPr>
                <w:sz w:val="16"/>
              </w:rPr>
            </w:r>
          </w:p>
        </w:tc>
        <w:tc>
          <w:tcPr>
            <w:tcW w:w="990" w:type="dxa"/>
            <w:tcBorders/>
          </w:tcPr>
          <w:p>
            <w:pPr>
              <w:pStyle w:val="Normal"/>
              <w:spacing w:before="0" w:after="240"/>
              <w:ind w:start="-180" w:end="0"/>
              <w:jc w:val="end"/>
              <w:rPr>
                <w:sz w:val="16"/>
              </w:rPr>
            </w:pPr>
            <w:r>
              <w:rPr>
                <w:sz w:val="16"/>
              </w:rPr>
              <w:t>Department:</w:t>
            </w:r>
          </w:p>
        </w:tc>
        <w:tc>
          <w:tcPr>
            <w:tcW w:w="2655" w:type="dxa"/>
            <w:tcBorders/>
          </w:tcPr>
          <w:p>
            <w:pPr>
              <w:pStyle w:val="Department"/>
              <w:spacing w:before="0" w:after="240"/>
              <w:rPr/>
            </w:pPr>
            <w:bookmarkStart w:id="0" w:name="From"/>
            <w:bookmarkEnd w:id="0"/>
            <w:r>
              <w:rPr/>
              <w:t>Enron Europe</w:t>
            </w:r>
          </w:p>
        </w:tc>
      </w:tr>
      <w:tr>
        <w:trPr>
          <w:trHeight w:val="292" w:hRule="exact"/>
        </w:trPr>
        <w:tc>
          <w:tcPr>
            <w:tcW w:w="708" w:type="dxa"/>
            <w:tcBorders/>
          </w:tcPr>
          <w:p>
            <w:pPr>
              <w:pStyle w:val="Normal"/>
              <w:snapToGrid w:val="false"/>
              <w:spacing w:before="0" w:after="240"/>
              <w:ind w:start="-180" w:end="0"/>
              <w:jc w:val="end"/>
              <w:rPr>
                <w:sz w:val="18"/>
              </w:rPr>
            </w:pPr>
            <w:r>
              <w:rPr>
                <w:sz w:val="18"/>
              </w:rPr>
            </w:r>
          </w:p>
        </w:tc>
        <w:tc>
          <w:tcPr>
            <w:tcW w:w="6045" w:type="dxa"/>
            <w:tcBorders/>
          </w:tcPr>
          <w:p>
            <w:pPr>
              <w:pStyle w:val="Normal"/>
              <w:snapToGrid w:val="false"/>
              <w:spacing w:before="0" w:after="240"/>
              <w:rPr>
                <w:sz w:val="18"/>
              </w:rPr>
            </w:pPr>
            <w:r>
              <w:rPr>
                <w:sz w:val="18"/>
              </w:rPr>
            </w:r>
          </w:p>
        </w:tc>
        <w:tc>
          <w:tcPr>
            <w:tcW w:w="990" w:type="dxa"/>
            <w:tcBorders/>
          </w:tcPr>
          <w:p>
            <w:pPr>
              <w:pStyle w:val="Normal"/>
              <w:snapToGrid w:val="false"/>
              <w:spacing w:before="0" w:after="240"/>
              <w:ind w:start="-180" w:end="0"/>
              <w:rPr>
                <w:sz w:val="18"/>
              </w:rPr>
            </w:pPr>
            <w:r>
              <w:rPr>
                <w:sz w:val="18"/>
              </w:rPr>
            </w:r>
          </w:p>
        </w:tc>
        <w:tc>
          <w:tcPr>
            <w:tcW w:w="2655" w:type="dxa"/>
            <w:tcBorders/>
          </w:tcPr>
          <w:p>
            <w:pPr>
              <w:pStyle w:val="Normal"/>
              <w:snapToGrid w:val="false"/>
              <w:spacing w:before="0" w:after="240"/>
              <w:rPr>
                <w:sz w:val="18"/>
              </w:rPr>
            </w:pPr>
            <w:r>
              <w:rPr>
                <w:sz w:val="18"/>
              </w:rPr>
            </w:r>
          </w:p>
        </w:tc>
      </w:tr>
      <w:tr>
        <w:trPr>
          <w:trHeight w:val="600" w:hRule="exact"/>
        </w:trPr>
        <w:tc>
          <w:tcPr>
            <w:tcW w:w="708" w:type="dxa"/>
            <w:tcBorders>
              <w:bottom w:val="single" w:sz="12" w:space="0" w:color="000000"/>
            </w:tcBorders>
          </w:tcPr>
          <w:p>
            <w:pPr>
              <w:pStyle w:val="Normal"/>
              <w:spacing w:before="0" w:after="240"/>
              <w:ind w:start="-180" w:end="0"/>
              <w:jc w:val="end"/>
              <w:rPr>
                <w:sz w:val="16"/>
              </w:rPr>
            </w:pPr>
            <w:r>
              <w:rPr>
                <w:sz w:val="16"/>
              </w:rPr>
              <w:t>Subject:</w:t>
            </w:r>
          </w:p>
        </w:tc>
        <w:tc>
          <w:tcPr>
            <w:tcW w:w="6045" w:type="dxa"/>
            <w:tcBorders>
              <w:bottom w:val="single" w:sz="12" w:space="0" w:color="000000"/>
            </w:tcBorders>
          </w:tcPr>
          <w:p>
            <w:pPr>
              <w:pStyle w:val="Subject"/>
              <w:spacing w:before="0" w:after="240"/>
              <w:rPr/>
            </w:pPr>
            <w:r>
              <w:rPr/>
              <w:t>DRAFT: Review of Trading Controls at MG</w:t>
            </w:r>
          </w:p>
        </w:tc>
        <w:tc>
          <w:tcPr>
            <w:tcW w:w="990" w:type="dxa"/>
            <w:tcBorders>
              <w:bottom w:val="single" w:sz="12" w:space="0" w:color="000000"/>
            </w:tcBorders>
          </w:tcPr>
          <w:p>
            <w:pPr>
              <w:pStyle w:val="Normal"/>
              <w:spacing w:before="0" w:after="240"/>
              <w:ind w:start="-180" w:end="0"/>
              <w:jc w:val="end"/>
              <w:rPr>
                <w:sz w:val="16"/>
              </w:rPr>
            </w:pPr>
            <w:r>
              <w:rPr>
                <w:sz w:val="16"/>
              </w:rPr>
              <w:t>Date:</w:t>
            </w:r>
          </w:p>
        </w:tc>
        <w:tc>
          <w:tcPr>
            <w:tcW w:w="2655" w:type="dxa"/>
            <w:tcBorders>
              <w:bottom w:val="single" w:sz="12" w:space="0" w:color="000000"/>
            </w:tcBorders>
          </w:tcPr>
          <w:p>
            <w:pPr>
              <w:pStyle w:val="Date"/>
              <w:spacing w:before="0" w:after="240"/>
              <w:rPr/>
            </w:pPr>
            <w:r>
              <w:rPr/>
              <w:fldChar w:fldCharType="begin"/>
            </w:r>
            <w:r>
              <w:rPr/>
              <w:instrText xml:space="preserve"> SAVEDATE \@"d\ MMMM\ yyyy" </w:instrText>
            </w:r>
            <w:r>
              <w:rPr/>
              <w:fldChar w:fldCharType="separate"/>
            </w:r>
            <w:r>
              <w:rPr/>
              <w:t>21 June 2000</w:t>
            </w:r>
            <w:r>
              <w:rPr/>
              <w:fldChar w:fldCharType="end"/>
            </w:r>
          </w:p>
        </w:tc>
      </w:tr>
    </w:tbl>
    <w:p>
      <w:pPr>
        <w:pStyle w:val="Normal"/>
        <w:rPr/>
      </w:pPr>
      <w:r>
        <w:rPr/>
      </w:r>
    </w:p>
    <w:p>
      <w:pPr>
        <w:pStyle w:val="Normal"/>
        <w:rPr/>
      </w:pPr>
      <w:r>
        <w:rPr/>
        <w:t>A quick data-gathering exercise has highlighted that the segregation of duties varies substantially between the different MG trading businesses, but is everywhere much weaker than we would like. This conclusion is so apparent, that there seems little point in conducting Doorstep reviews at this stage which will recommend changes when we already know that the biggest change required - implementing segregation of duties - will affect all other procedures substantially. We therefore intend to:</w:t>
      </w:r>
    </w:p>
    <w:tbl>
      <w:tblPr>
        <w:tblW w:w="9322" w:type="dxa"/>
        <w:jc w:val="start"/>
        <w:tblInd w:w="0" w:type="dxa"/>
        <w:tblLayout w:type="fixed"/>
        <w:tblCellMar>
          <w:top w:w="0" w:type="dxa"/>
          <w:start w:w="108" w:type="dxa"/>
          <w:bottom w:w="0" w:type="dxa"/>
          <w:end w:w="108" w:type="dxa"/>
        </w:tblCellMar>
      </w:tblPr>
      <w:tblGrid>
        <w:gridCol w:w="675"/>
        <w:gridCol w:w="6237"/>
        <w:gridCol w:w="2410"/>
      </w:tblGrid>
      <w:tr>
        <w:trPr/>
        <w:tc>
          <w:tcPr>
            <w:tcW w:w="675"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1</w:t>
            </w:r>
          </w:p>
        </w:tc>
        <w:tc>
          <w:tcPr>
            <w:tcW w:w="6237"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Explain to MG staff the Enron model for segregating duties.</w:t>
            </w:r>
          </w:p>
        </w:tc>
        <w:tc>
          <w:tcPr>
            <w:tcW w:w="2410"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26</w:t>
            </w:r>
            <w:r>
              <w:rPr>
                <w:vertAlign w:val="superscript"/>
              </w:rPr>
              <w:t>th</w:t>
            </w:r>
            <w:r>
              <w:rPr/>
              <w:t xml:space="preserve"> June</w:t>
            </w:r>
          </w:p>
        </w:tc>
      </w:tr>
      <w:tr>
        <w:trPr/>
        <w:tc>
          <w:tcPr>
            <w:tcW w:w="675"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2</w:t>
            </w:r>
          </w:p>
        </w:tc>
        <w:tc>
          <w:tcPr>
            <w:tcW w:w="6237"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Identify Controller candidates for 3 hub locations</w:t>
            </w:r>
          </w:p>
        </w:tc>
        <w:tc>
          <w:tcPr>
            <w:tcW w:w="2410"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26</w:t>
            </w:r>
            <w:r>
              <w:rPr>
                <w:vertAlign w:val="superscript"/>
              </w:rPr>
              <w:t>th</w:t>
            </w:r>
            <w:r>
              <w:rPr/>
              <w:t xml:space="preserve"> June</w:t>
            </w:r>
          </w:p>
        </w:tc>
      </w:tr>
      <w:tr>
        <w:trPr/>
        <w:tc>
          <w:tcPr>
            <w:tcW w:w="675"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3</w:t>
            </w:r>
          </w:p>
        </w:tc>
        <w:tc>
          <w:tcPr>
            <w:tcW w:w="6237"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Obtain senior management buy-in at MG that change is required in location/nature of trading activities.</w:t>
            </w:r>
          </w:p>
        </w:tc>
        <w:tc>
          <w:tcPr>
            <w:tcW w:w="2410"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3</w:t>
            </w:r>
            <w:r>
              <w:rPr>
                <w:vertAlign w:val="superscript"/>
              </w:rPr>
              <w:t>rd</w:t>
            </w:r>
            <w:r>
              <w:rPr/>
              <w:t xml:space="preserve"> July</w:t>
            </w:r>
          </w:p>
        </w:tc>
      </w:tr>
      <w:tr>
        <w:trPr/>
        <w:tc>
          <w:tcPr>
            <w:tcW w:w="675"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4</w:t>
            </w:r>
          </w:p>
        </w:tc>
        <w:tc>
          <w:tcPr>
            <w:tcW w:w="6237"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Obtain senior management buy-in at MG that change is required in segregation of duties.</w:t>
            </w:r>
          </w:p>
        </w:tc>
        <w:tc>
          <w:tcPr>
            <w:tcW w:w="2410"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3</w:t>
            </w:r>
            <w:r>
              <w:rPr>
                <w:vertAlign w:val="superscript"/>
              </w:rPr>
              <w:t>rd</w:t>
            </w:r>
            <w:r>
              <w:rPr/>
              <w:t xml:space="preserve"> July</w:t>
            </w:r>
          </w:p>
        </w:tc>
      </w:tr>
      <w:tr>
        <w:trPr/>
        <w:tc>
          <w:tcPr>
            <w:tcW w:w="675"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5</w:t>
            </w:r>
          </w:p>
        </w:tc>
        <w:tc>
          <w:tcPr>
            <w:tcW w:w="6237"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Add Controller level people in 3 main locations.</w:t>
            </w:r>
          </w:p>
        </w:tc>
        <w:tc>
          <w:tcPr>
            <w:tcW w:w="2410"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[10</w:t>
            </w:r>
            <w:r>
              <w:rPr>
                <w:vertAlign w:val="superscript"/>
              </w:rPr>
              <w:t>th</w:t>
            </w:r>
            <w:r>
              <w:rPr/>
              <w:t xml:space="preserve"> July]</w:t>
            </w:r>
          </w:p>
        </w:tc>
      </w:tr>
      <w:tr>
        <w:trPr/>
        <w:tc>
          <w:tcPr>
            <w:tcW w:w="675"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6</w:t>
            </w:r>
          </w:p>
        </w:tc>
        <w:tc>
          <w:tcPr>
            <w:tcW w:w="6237"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Move functions around so that there is a clear split between: Execution (Front Office), Recording (Middle and Back Office), Cash Management, and Review (RAC)</w:t>
            </w:r>
          </w:p>
        </w:tc>
        <w:tc>
          <w:tcPr>
            <w:tcW w:w="2410"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[24</w:t>
            </w:r>
            <w:r>
              <w:rPr>
                <w:vertAlign w:val="superscript"/>
              </w:rPr>
              <w:t>th</w:t>
            </w:r>
            <w:r>
              <w:rPr/>
              <w:t xml:space="preserve"> July]</w:t>
            </w:r>
          </w:p>
        </w:tc>
      </w:tr>
      <w:tr>
        <w:trPr/>
        <w:tc>
          <w:tcPr>
            <w:tcW w:w="675"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7</w:t>
            </w:r>
          </w:p>
        </w:tc>
        <w:tc>
          <w:tcPr>
            <w:tcW w:w="6237"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Implement change in location/nature of trading activities</w:t>
            </w:r>
          </w:p>
        </w:tc>
        <w:tc>
          <w:tcPr>
            <w:tcW w:w="2410"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[31</w:t>
            </w:r>
            <w:r>
              <w:rPr>
                <w:vertAlign w:val="superscript"/>
              </w:rPr>
              <w:t>st</w:t>
            </w:r>
            <w:r>
              <w:rPr/>
              <w:t xml:space="preserve"> July]</w:t>
            </w:r>
          </w:p>
        </w:tc>
      </w:tr>
      <w:tr>
        <w:trPr/>
        <w:tc>
          <w:tcPr>
            <w:tcW w:w="675"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8</w:t>
            </w:r>
          </w:p>
        </w:tc>
        <w:tc>
          <w:tcPr>
            <w:tcW w:w="6237"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Implement further split within Middle and Back Office functions, with existing Global Products as baseline.</w:t>
            </w:r>
          </w:p>
        </w:tc>
        <w:tc>
          <w:tcPr>
            <w:tcW w:w="2410"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[16</w:t>
            </w:r>
            <w:r>
              <w:rPr>
                <w:vertAlign w:val="superscript"/>
              </w:rPr>
              <w:t>th</w:t>
            </w:r>
            <w:r>
              <w:rPr/>
              <w:t xml:space="preserve"> September]</w:t>
            </w:r>
          </w:p>
        </w:tc>
      </w:tr>
      <w:tr>
        <w:trPr/>
        <w:tc>
          <w:tcPr>
            <w:tcW w:w="675"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9</w:t>
            </w:r>
          </w:p>
        </w:tc>
        <w:tc>
          <w:tcPr>
            <w:tcW w:w="6237"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Move London people into 40G.</w:t>
            </w:r>
          </w:p>
        </w:tc>
        <w:tc>
          <w:tcPr>
            <w:tcW w:w="2410"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16</w:t>
            </w:r>
            <w:r>
              <w:rPr>
                <w:vertAlign w:val="superscript"/>
              </w:rPr>
              <w:t>th</w:t>
            </w:r>
            <w:r>
              <w:rPr/>
              <w:t xml:space="preserve"> September</w:t>
            </w:r>
          </w:p>
        </w:tc>
      </w:tr>
      <w:tr>
        <w:trPr/>
        <w:tc>
          <w:tcPr>
            <w:tcW w:w="675"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10</w:t>
            </w:r>
          </w:p>
        </w:tc>
        <w:tc>
          <w:tcPr>
            <w:tcW w:w="6237"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Conduct Doorstep visits</w:t>
            </w:r>
          </w:p>
        </w:tc>
        <w:tc>
          <w:tcPr>
            <w:tcW w:w="2410"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Second half of October</w:t>
            </w:r>
          </w:p>
        </w:tc>
      </w:tr>
    </w:tbl>
    <w:p>
      <w:pPr>
        <w:pStyle w:val="Normal"/>
        <w:rPr/>
      </w:pPr>
      <w:r>
        <w:rPr/>
      </w:r>
    </w:p>
    <w:p>
      <w:pPr>
        <w:pStyle w:val="Normal"/>
        <w:keepLines/>
        <w:widowControl/>
        <w:bidi w:val="0"/>
        <w:spacing w:before="0" w:after="240"/>
        <w:rPr/>
      </w:pPr>
      <w:r>
        <w:rPr/>
        <w:t>Recruitment is likely to be required. This should be done by Enron HR.</w:t>
      </w:r>
    </w:p>
    <w:sectPr>
      <w:headerReference w:type="default" r:id="rId3"/>
      <w:headerReference w:type="first" r:id="rId4"/>
      <w:footerReference w:type="default" r:id="rId5"/>
      <w:footerReference w:type="first" r:id="rId6"/>
      <w:type w:val="nextPage"/>
      <w:pgSz w:w="11906" w:h="16838"/>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3780" w:leader="none"/>
        <w:tab w:val="center" w:pos="5040" w:leader="none"/>
        <w:tab w:val="center" w:pos="7560" w:leader="none"/>
        <w:tab w:val="right" w:pos="10080" w:leader="none"/>
      </w:tabs>
      <w:jc w:val="center"/>
      <w:rPr>
        <w:b/>
        <w:sz w:val="16"/>
      </w:rPr>
    </w:pPr>
    <w:r>
      <w:rPr>
        <w:b/>
        <w:sz w:val="16"/>
      </w:rPr>
      <w:t>Your Personal Best Makes Enron Best</w:t>
      <w:tab/>
      <w:t>Communicate- Facts Are Friendly</w:t>
      <w:tab/>
      <w:tab/>
      <w:t>Better, Faster, Simpler</w:t>
    </w:r>
  </w:p>
  <w:p>
    <w:pPr>
      <w:pStyle w:val="Footer"/>
      <w:tabs>
        <w:tab w:val="left" w:pos="3780" w:leader="none"/>
        <w:tab w:val="center" w:pos="5040" w:leader="none"/>
        <w:tab w:val="center" w:pos="7560" w:leader="none"/>
        <w:tab w:val="right" w:pos="10080" w:leader="none"/>
      </w:tabs>
      <w:spacing w:before="0" w:after="240"/>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Your Personal Best Makes Enron Best</w:t>
      <w:tab/>
      <w:t>Communicate- Facts Are Friendly</w:t>
      <w:tab/>
      <w:t>Better, Faster, Simpler</w:t>
    </w:r>
  </w:p>
  <w:p>
    <w:pPr>
      <w:pStyle w:val="Footer"/>
      <w:tabs>
        <w:tab w:val="left" w:pos="3780" w:leader="none"/>
        <w:tab w:val="center" w:pos="5040" w:leader="none"/>
        <w:tab w:val="center" w:pos="7560" w:leader="none"/>
        <w:tab w:val="right" w:pos="10080" w:leader="none"/>
        <w:tab w:val="right" w:pos="10800" w:leader="none"/>
      </w:tabs>
      <w:spacing w:before="0" w:after="240"/>
      <w:rPr>
        <w:sz w:val="12"/>
      </w:rPr>
    </w:pPr>
    <w:r>
      <w:rPr>
        <w:sz w:val="12"/>
      </w:rPr>
      <w:t>Form 000-469-1 (7/92)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SAVEDATE \@"yy\-MM\-dd" </w:instrText>
    </w:r>
    <w:r>
      <w:rPr/>
      <w:fldChar w:fldCharType="separate"/>
    </w:r>
    <w:r>
      <w:rPr/>
      <w:t>00-06-21</w:t>
    </w:r>
    <w:r>
      <w:rPr/>
      <w:fldChar w:fldCharType="end"/>
    </w:r>
    <w:r>
      <w:rPr/>
      <w:tab/>
      <w:t xml:space="preserve">Page </w:t>
    </w:r>
    <w:r>
      <w:rPr/>
      <w:fldChar w:fldCharType="begin"/>
    </w:r>
    <w:r>
      <w:rPr/>
      <w:instrText xml:space="preserve"> PAGE </w:instrText>
    </w:r>
    <w:r>
      <w:rPr/>
      <w:fldChar w:fldCharType="separate"/>
    </w:r>
    <w:r>
      <w:rPr/>
      <w:t>0</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Lines/>
      <w:widowControl/>
      <w:bidi w:val="0"/>
      <w:spacing w:before="0" w:after="240"/>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spacing w:before="0" w:after="0"/>
                            <w:ind w:start="3600" w:end="0"/>
                            <w:rPr>
                              <w:b/>
                              <w:sz w:val="32"/>
                            </w:rPr>
                          </w:pPr>
                          <w:r>
                            <w:rPr>
                              <w:b/>
                              <w:sz w:val="32"/>
                            </w:rPr>
                            <w:t>Interoffice</w:t>
                          </w:r>
                          <w:r>
                            <w:rPr>
                              <w:b/>
                              <w:sz w:val="32"/>
                            </w:rPr>
                            <w:t>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spacing w:before="0" w:after="0"/>
                      <w:ind w:start="3600" w:end="0"/>
                      <w:rPr>
                        <w:b/>
                        <w:sz w:val="32"/>
                      </w:rPr>
                    </w:pPr>
                    <w:r>
                      <w:rPr>
                        <w:b/>
                        <w:sz w:val="32"/>
                      </w:rPr>
                      <w:t>Interoffice</w:t>
                    </w:r>
                    <w:r>
                      <w:rPr>
                        <w:b/>
                        <w:sz w:val="32"/>
                      </w:rPr>
                      <w:t>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keepLines/>
      <w:widowControl/>
      <w:bidi w:val="0"/>
      <w:spacing w:before="0" w:after="24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Heading2"/>
    <w:qFormat/>
    <w:pPr>
      <w:keepNext w:val="true"/>
      <w:keepLines/>
      <w:pageBreakBefore/>
      <w:numPr>
        <w:ilvl w:val="0"/>
        <w:numId w:val="1"/>
      </w:numPr>
      <w:tabs>
        <w:tab w:val="clear" w:pos="720"/>
      </w:tabs>
      <w:spacing w:before="0" w:after="240"/>
      <w:outlineLvl w:val="0"/>
    </w:pPr>
    <w:rPr>
      <w:rFonts w:ascii="Times New Roman" w:hAnsi="Times New Roman" w:cs="Times New Roman"/>
      <w:b/>
    </w:rPr>
  </w:style>
  <w:style w:type="paragraph" w:styleId="Heading2">
    <w:name w:val="heading 2"/>
    <w:basedOn w:val="Heading1"/>
    <w:next w:val="Heading3"/>
    <w:qFormat/>
    <w:pPr>
      <w:pageBreakBefore w:val="false"/>
      <w:numPr>
        <w:ilvl w:val="1"/>
        <w:numId w:val="1"/>
      </w:numPr>
      <w:outlineLvl w:val="1"/>
    </w:pPr>
    <w:rPr>
      <w:sz w:val="20"/>
    </w:rPr>
  </w:style>
  <w:style w:type="paragraph" w:styleId="Heading3">
    <w:name w:val="heading 3"/>
    <w:basedOn w:val="Heading2"/>
    <w:next w:val="Normal"/>
    <w:qFormat/>
    <w:pPr>
      <w:numPr>
        <w:ilvl w:val="2"/>
        <w:numId w:val="1"/>
      </w:numPr>
      <w:outlineLvl w:val="2"/>
    </w:pPr>
    <w:rPr>
      <w:b w:val="false"/>
    </w:rPr>
  </w:style>
  <w:style w:type="paragraph" w:styleId="Heading4">
    <w:name w:val="heading 4"/>
    <w:basedOn w:val="Heading3"/>
    <w:next w:val="Heading5"/>
    <w:qFormat/>
    <w:pPr>
      <w:numPr>
        <w:ilvl w:val="3"/>
        <w:numId w:val="1"/>
      </w:numPr>
      <w:outlineLvl w:val="3"/>
    </w:pPr>
    <w:rPr/>
  </w:style>
  <w:style w:type="paragraph" w:styleId="Heading5">
    <w:name w:val="heading 5"/>
    <w:basedOn w:val="Heading4"/>
    <w:next w:val="Normal"/>
    <w:qFormat/>
    <w:pPr>
      <w:numPr>
        <w:ilvl w:val="4"/>
        <w:numId w:val="1"/>
      </w:numPr>
      <w:outlineLvl w:val="4"/>
    </w:pPr>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72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0" w:after="0"/>
      <w:ind w:hanging="0" w:start="3600" w:end="0"/>
    </w:pPr>
    <w:rPr>
      <w:b/>
      <w:sz w:val="32"/>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5040" w:leader="none"/>
        <w:tab w:val="right" w:pos="10080" w:leader="none"/>
      </w:tabs>
      <w:spacing w:before="0" w:after="0"/>
    </w:pPr>
    <w:rPr>
      <w:rFonts w:ascii="Times New Roman" w:hAnsi="Times New Roman" w:cs="Times New Roman"/>
      <w:sz w:val="20"/>
    </w:rPr>
  </w:style>
  <w:style w:type="paragraph" w:styleId="Footer">
    <w:name w:val="footer"/>
    <w:basedOn w:val="Header"/>
    <w:pPr>
      <w:keepLines/>
      <w:spacing w:before="0" w:after="240"/>
    </w:pPr>
    <w:rPr>
      <w:rFonts w:ascii="Times New Roman" w:hAnsi="Times New Roman" w:cs="Times New Roman"/>
      <w:i/>
      <w:sz w:val="20"/>
    </w:rPr>
  </w:style>
  <w:style w:type="paragraph" w:styleId="Subject">
    <w:name w:val="Subject"/>
    <w:basedOn w:val="Normal"/>
    <w:qFormat/>
    <w:pPr>
      <w:tabs>
        <w:tab w:val="clear" w:pos="720"/>
      </w:tabs>
    </w:pPr>
    <w:rPr>
      <w:sz w:val="20"/>
    </w:rPr>
  </w:style>
  <w:style w:type="paragraph" w:styleId="Date">
    <w:name w:val="Date"/>
    <w:basedOn w:val="Normal"/>
    <w:qFormat/>
    <w:pPr>
      <w:tabs>
        <w:tab w:val="clear" w:pos="720"/>
      </w:tabs>
    </w:pPr>
    <w:rPr>
      <w:sz w:val="20"/>
    </w:rPr>
  </w:style>
  <w:style w:type="paragraph" w:styleId="To">
    <w:name w:val="To"/>
    <w:basedOn w:val="Normal"/>
    <w:qFormat/>
    <w:pPr>
      <w:tabs>
        <w:tab w:val="clear" w:pos="720"/>
      </w:tabs>
    </w:pPr>
    <w:rPr>
      <w:sz w:val="20"/>
    </w:rPr>
  </w:style>
  <w:style w:type="paragraph" w:styleId="From">
    <w:name w:val="From"/>
    <w:basedOn w:val="Normal"/>
    <w:qFormat/>
    <w:pPr>
      <w:tabs>
        <w:tab w:val="clear" w:pos="720"/>
      </w:tabs>
    </w:pPr>
    <w:rPr>
      <w:sz w:val="20"/>
    </w:rPr>
  </w:style>
  <w:style w:type="paragraph" w:styleId="CopyList">
    <w:name w:val="CopyList"/>
    <w:basedOn w:val="Normal"/>
    <w:qFormat/>
    <w:pPr>
      <w:tabs>
        <w:tab w:val="clear" w:pos="720"/>
        <w:tab w:val="left" w:pos="504" w:leader="none"/>
      </w:tabs>
      <w:spacing w:before="360" w:after="240"/>
      <w:ind w:hanging="504" w:start="576" w:end="0"/>
    </w:pPr>
    <w:rPr>
      <w:rFonts w:ascii="Arial" w:hAnsi="Arial" w:cs="Arial"/>
      <w:sz w:val="20"/>
    </w:rPr>
  </w:style>
  <w:style w:type="paragraph" w:styleId="Body">
    <w:name w:val="Body"/>
    <w:basedOn w:val="Normal"/>
    <w:qFormat/>
    <w:pPr>
      <w:tabs>
        <w:tab w:val="clear" w:pos="720"/>
      </w:tabs>
      <w:ind w:hanging="0" w:start="72" w:end="0"/>
    </w:pPr>
    <w:rPr>
      <w:rFonts w:ascii="Arial" w:hAnsi="Arial" w:cs="Arial"/>
      <w:color w:val="000080"/>
      <w:sz w:val="20"/>
    </w:rPr>
  </w:style>
  <w:style w:type="paragraph" w:styleId="Department">
    <w:name w:val="Department"/>
    <w:basedOn w:val="Normal"/>
    <w:qFormat/>
    <w:pPr>
      <w:tabs>
        <w:tab w:val="clear" w:pos="720"/>
      </w:tabs>
    </w:pPr>
    <w:rPr>
      <w:sz w:val="20"/>
    </w:rPr>
  </w:style>
  <w:style w:type="paragraph" w:styleId="body1">
    <w:name w:val="body1"/>
    <w:basedOn w:val="Normal"/>
    <w:qFormat/>
    <w:pPr>
      <w:keepLines/>
      <w:tabs>
        <w:tab w:val="clear" w:pos="720"/>
      </w:tabs>
      <w:spacing w:before="0" w:after="240"/>
    </w:pPr>
    <w:rPr>
      <w:rFonts w:ascii="Times New Roman" w:hAnsi="Times New Roman" w:cs="Times New Roman"/>
      <w:sz w:val="20"/>
    </w:rPr>
  </w:style>
  <w:style w:type="paragraph" w:styleId="bullet">
    <w:name w:val="bullet"/>
    <w:basedOn w:val="Normal"/>
    <w:qFormat/>
    <w:pPr>
      <w:keepLines/>
      <w:tabs>
        <w:tab w:val="clear" w:pos="720"/>
      </w:tabs>
      <w:spacing w:before="0" w:after="240"/>
      <w:ind w:hanging="720" w:start="720" w:end="0"/>
    </w:pPr>
    <w:rPr>
      <w:rFonts w:ascii="Times New Roman" w:hAnsi="Times New Roman" w:cs="Times New Roman"/>
      <w:sz w:val="20"/>
    </w:rPr>
  </w:style>
  <w:style w:type="paragraph" w:styleId="bulletindent1">
    <w:name w:val="bullet indent 1"/>
    <w:basedOn w:val="bullet"/>
    <w:qFormat/>
    <w:pPr>
      <w:ind w:hanging="720" w:start="1440" w:end="0"/>
    </w:pPr>
    <w:rPr/>
  </w:style>
  <w:style w:type="paragraph" w:styleId="bulletindent2">
    <w:name w:val="bullet indent 2"/>
    <w:basedOn w:val="bulletindent1"/>
    <w:qFormat/>
    <w:pPr>
      <w:ind w:hanging="720" w:start="2160" w:end="0"/>
    </w:pPr>
    <w:rPr/>
  </w:style>
  <w:style w:type="paragraph" w:styleId="bulletindent3">
    <w:name w:val="bullet indent 3"/>
    <w:basedOn w:val="bulletindent2"/>
    <w:qFormat/>
    <w:pPr>
      <w:ind w:hanging="720" w:start="2880" w:end="0"/>
    </w:pPr>
    <w:rPr/>
  </w:style>
  <w:style w:type="paragraph" w:styleId="centre">
    <w:name w:val="centre"/>
    <w:basedOn w:val="Normal"/>
    <w:qFormat/>
    <w:pPr>
      <w:keepLines/>
      <w:tabs>
        <w:tab w:val="clear" w:pos="720"/>
      </w:tabs>
      <w:spacing w:before="0" w:after="240"/>
      <w:jc w:val="center"/>
    </w:pPr>
    <w:rPr>
      <w:rFonts w:ascii="Times New Roman" w:hAnsi="Times New Roman" w:cs="Times New Roman"/>
      <w:b/>
    </w:rPr>
  </w:style>
  <w:style w:type="paragraph" w:styleId="close">
    <w:name w:val="close"/>
    <w:basedOn w:val="Normal"/>
    <w:qFormat/>
    <w:pPr>
      <w:keepLines/>
      <w:tabs>
        <w:tab w:val="clear" w:pos="720"/>
      </w:tabs>
    </w:pPr>
    <w:rPr>
      <w:rFonts w:ascii="Times New Roman" w:hAnsi="Times New Roman" w:cs="Times New Roman"/>
      <w:sz w:val="20"/>
    </w:rPr>
  </w:style>
  <w:style w:type="paragraph" w:styleId="headercont">
    <w:name w:val="headercont"/>
    <w:basedOn w:val="Header"/>
    <w:qFormat/>
    <w:pPr>
      <w:tabs>
        <w:tab w:val="clear" w:pos="5040"/>
        <w:tab w:val="clear" w:pos="10080"/>
        <w:tab w:val="center" w:pos="4962" w:leader="none"/>
        <w:tab w:val="right" w:pos="9923" w:leader="none"/>
      </w:tabs>
      <w:ind w:hanging="0" w:start="0" w:end="250"/>
      <w:jc w:val="end"/>
    </w:pPr>
    <w:rPr>
      <w:b/>
      <w:i/>
      <w:u w:val="single"/>
    </w:rPr>
  </w:style>
  <w:style w:type="paragraph" w:styleId="headertel">
    <w:name w:val="headertel"/>
    <w:basedOn w:val="Header"/>
    <w:qFormat/>
    <w:pPr>
      <w:tabs>
        <w:tab w:val="clear" w:pos="5040"/>
        <w:tab w:val="clear" w:pos="10080"/>
        <w:tab w:val="right" w:pos="7938" w:leader="none"/>
        <w:tab w:val="right" w:pos="9923" w:leader="none"/>
      </w:tabs>
      <w:ind w:hanging="0" w:start="0" w:end="-318"/>
    </w:pPr>
    <w:rPr>
      <w:b/>
      <w:i/>
    </w:rPr>
  </w:style>
  <w:style w:type="paragraph" w:styleId="journal">
    <w:name w:val="journal"/>
    <w:basedOn w:val="Normal"/>
    <w:qFormat/>
    <w:pPr>
      <w:keepLines/>
      <w:tabs>
        <w:tab w:val="left" w:pos="360" w:leader="none"/>
        <w:tab w:val="left" w:pos="720" w:leader="none"/>
        <w:tab w:val="left" w:pos="1080" w:leader="none"/>
        <w:tab w:val="decimal" w:pos="5760" w:leader="none"/>
        <w:tab w:val="decimal" w:pos="7200" w:leader="none"/>
      </w:tabs>
    </w:pPr>
    <w:rPr>
      <w:rFonts w:ascii="Times New Roman" w:hAnsi="Times New Roman" w:cs="Times New Roman"/>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2000-06-21T04:07:00Z</dcterms:created>
  <dc:creator>RSage</dc:creator>
  <dc:description/>
  <dc:language>en-CA</dc:language>
  <cp:lastModifiedBy>RSage</cp:lastModifiedBy>
  <cp:lastPrinted>2000-06-21T08:59:00Z</cp:lastPrinted>
  <dcterms:modified xsi:type="dcterms:W3CDTF">2000-06-21T14:40:00Z</dcterms:modified>
  <cp:revision>6</cp:revision>
  <dc:subject>Tractebel Meeting</dc:subject>
  <dc:title> </dc:title>
</cp:coreProperties>
</file>