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Example – For Discussion Purposes Only</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("Transwestern") and _____________________________ ("Customer")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the Parties have entered into an Interconnect Agreement dated _________ ("Interconnect Agreement"), pursuant to which Customer has installed or will install certain facilities in order to allow Transwestern to deliver natural gas service to Customer's [name of facility] in [location];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w:t>
      </w:r>
      <w:r>
        <w:rPr>
          <w:rFonts w:cs="Times New Roman" w:ascii="Times New Roman" w:hAnsi="Times New Roman"/>
          <w:i/>
          <w:sz w:val="24"/>
        </w:rPr>
        <w:t>[Customer/Transwestern]</w:t>
      </w:r>
      <w:r>
        <w:rPr>
          <w:rFonts w:cs="Times New Roman" w:ascii="Times New Roman" w:hAnsi="Times New Roman"/>
          <w:sz w:val="24"/>
        </w:rPr>
        <w:t xml:space="preserve"> has constructed and owns, or will construct and own, certain facilities pursuant to the Interconnect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 xml:space="preserve">Transwestern and Customer desire to have Transwestern operate and maintain the facilities </w:t>
      </w:r>
      <w:r>
        <w:rPr>
          <w:rFonts w:cs="Times New Roman" w:ascii="Times New Roman" w:hAnsi="Times New Roman"/>
          <w:i/>
          <w:sz w:val="24"/>
        </w:rPr>
        <w:t>[specify]</w:t>
      </w:r>
      <w:r>
        <w:rPr>
          <w:rFonts w:cs="Times New Roman" w:ascii="Times New Roman" w:hAnsi="Times New Roman"/>
          <w:sz w:val="24"/>
        </w:rPr>
        <w:t xml:space="preserve">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1.5</w:t>
        <w:tab/>
        <w:t xml:space="preserve">"Delivery Point Facilities" shall mean the __" tap on the __" Transwestern pipeline at or near milepost ___ in </w:t>
      </w:r>
      <w:r>
        <w:rPr>
          <w:rFonts w:cs="Times New Roman" w:ascii="Times New Roman" w:hAnsi="Times New Roman"/>
          <w:i/>
          <w:sz w:val="24"/>
        </w:rPr>
        <w:t>[county, state]</w:t>
      </w:r>
      <w:r>
        <w:rPr>
          <w:rFonts w:cs="Times New Roman" w:ascii="Times New Roman" w:hAnsi="Times New Roman"/>
          <w:sz w:val="24"/>
        </w:rPr>
        <w:t xml:space="preserve">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1.6</w:t>
        <w:tab/>
        <w:t xml:space="preserve">"Delivery Point" shall mean the point immediately downstream of the Delivery Point Facilities in </w:t>
      </w:r>
      <w:r>
        <w:rPr>
          <w:rFonts w:cs="Times New Roman" w:ascii="Times New Roman" w:hAnsi="Times New Roman"/>
          <w:i/>
          <w:sz w:val="24"/>
        </w:rPr>
        <w:t>[county, state]</w:t>
      </w:r>
      <w:r>
        <w:rPr>
          <w:rFonts w:cs="Times New Roman" w:ascii="Times New Roman" w:hAnsi="Times New Roman"/>
          <w:sz w:val="24"/>
        </w:rPr>
        <w:t xml:space="preserve"> where the Delivery Point Facilities deliver gas to Customer's Lateral Pipeline Facilities.  Such Delivery Point will be designated as Transwestern's POI No. _______.</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1.7</w:t>
        <w:tab/>
        <w:t xml:space="preserve">"Measurement and Control Facilities" shall mean the flow control, regulators, measurement equipment and other related facilities necessary to measure natural gas deliveries from Transwestern and control the flow of natural gas off of the Transwestern pipeline, installed and owned by </w:t>
      </w:r>
      <w:r>
        <w:rPr>
          <w:rFonts w:cs="Times New Roman" w:ascii="Times New Roman" w:hAnsi="Times New Roman"/>
          <w:i/>
          <w:sz w:val="24"/>
        </w:rPr>
        <w:t>[Transwestern/Customer]</w:t>
      </w:r>
      <w:r>
        <w:rPr>
          <w:rFonts w:cs="Times New Roman" w:ascii="Times New Roman" w:hAnsi="Times New Roman"/>
          <w:sz w:val="24"/>
        </w:rPr>
        <w:t xml:space="preserve"> pursuant to the Interconnect Agreement between the Parties.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r>
      <w:r>
        <w:rPr>
          <w:rFonts w:cs="Times New Roman" w:ascii="Times New Roman" w:hAnsi="Times New Roman"/>
          <w:i/>
          <w:sz w:val="24"/>
        </w:rPr>
        <w:t>[definition of facilities to be operated by Transwestern]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1.9</w:t>
        <w:tab/>
        <w:t>"Dekatherm" ("Dth") shall mean the quantity of heat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 xml:space="preserve">This Agreement shall be effective as of _______________, 2000, and shall remain in full force and effect as long as the Interconnect Agreement between the Parties remains in effect.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 xml:space="preserve">Transwestern shall operate and maintain the </w:t>
      </w:r>
      <w:r>
        <w:rPr>
          <w:rFonts w:cs="Times New Roman" w:ascii="Times New Roman" w:hAnsi="Times New Roman"/>
          <w:i/>
          <w:sz w:val="24"/>
        </w:rPr>
        <w:t>[facilities to be operated by Transwestern]</w:t>
      </w:r>
      <w:r>
        <w:rPr>
          <w:rFonts w:cs="Times New Roman" w:ascii="Times New Roman" w:hAnsi="Times New Roman"/>
          <w:sz w:val="24"/>
        </w:rPr>
        <w:t xml:space="preserve"> in accordance with Transwestern and/or Enron Transportation Services Company Operating Procedures and Policies in effect from time to time governing the operation and maintenance of measurement and control facilities, in a manner consistent with industry standard practices, in accordance with the applicable provisions of Transwestern's FERC Gas Tariff, as amended from time to time, and any applicable laws and regulations.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color w:val="000000"/>
          <w:sz w:val="24"/>
          <w:lang w:eastAsia="en-US"/>
        </w:rPr>
        <w:t xml:space="preserve">Customer shall be responsible for the overall design and installation and specifications, including without limit emergency egress and ingress requirements, meter run isolation and design requirements, and lock and tag requirements, power activated valves and controls, for its interconnecting pipeline and the </w:t>
      </w:r>
      <w:r>
        <w:rPr>
          <w:rFonts w:cs="Times New Roman" w:ascii="Times New Roman" w:hAnsi="Times New Roman"/>
          <w:i/>
          <w:color w:val="000000"/>
          <w:sz w:val="24"/>
          <w:lang w:eastAsia="en-US"/>
        </w:rPr>
        <w:t>[facilities]</w:t>
      </w:r>
      <w:r>
        <w:rPr>
          <w:rFonts w:cs="Times New Roman" w:ascii="Times New Roman" w:hAnsi="Times New Roman"/>
          <w:color w:val="000000"/>
          <w:sz w:val="24"/>
          <w:lang w:eastAsia="en-US"/>
        </w:rPr>
        <w:t>, all in accordance with specifications acceptable to Transwestern.  Such specifications shall meet or exceed federal DOT pipeline safety regulations, and Enron's Engineering Standards.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 xml:space="preserve">Transwestern shall test the Measurement and Control Facilities at least </w:t>
      </w:r>
      <w:r>
        <w:rPr>
          <w:rFonts w:cs="Times New Roman" w:ascii="Times New Roman" w:hAnsi="Times New Roman"/>
          <w:i/>
          <w:sz w:val="24"/>
        </w:rPr>
        <w:t>[quarterly]</w:t>
      </w:r>
      <w:r>
        <w:rPr>
          <w:rFonts w:cs="Times New Roman" w:ascii="Times New Roman" w:hAnsi="Times New Roman"/>
          <w:sz w:val="24"/>
        </w:rPr>
        <w:t>,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 xml:space="preserve">Transwestern shall operate and maintain the </w:t>
      </w:r>
      <w:r>
        <w:rPr>
          <w:rFonts w:cs="Times New Roman" w:ascii="Times New Roman" w:hAnsi="Times New Roman"/>
          <w:i/>
          <w:sz w:val="24"/>
        </w:rPr>
        <w:t>[facilities]</w:t>
      </w:r>
      <w:r>
        <w:rPr>
          <w:rFonts w:cs="Times New Roman" w:ascii="Times New Roman" w:hAnsi="Times New Roman"/>
          <w:sz w:val="24"/>
        </w:rPr>
        <w:t xml:space="preserve"> at its sole expense, provided, however, that for any capital expenditure required to replace, modify or repair the facilities in order for Transwestern to operate and maintain the facilities in a manner consistent with paragraph 3.1 hereof, then such capital expenditures shall be to the account of Customer.  Transwestern shall provide a written estimate of all such proposed capital expenditures to Customer for Customer’s approval.  Following replacement, modification or repair of facilities as detailed in Transwestern’s written estimate, Customer shall fully reimburse Transwestern not later than thirty (30) days following receipt of Transwestern’s invoice.  Transwestern shall not be required to seek Customer approval for any capital expenditure which, in Transwestern’s sole opinion, is required to meet the immediate safety and health concerns of Transwestern’s employees and contractors.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In the event Customer requests via written notification that Transwestern undertake an operation or maintenance activity outside the scope of those activities provided under paragraph 3.1 hereof, and such activities would require Transwestern to bear additional costs in order to comply with Customer’s requirements, then Transwestern shall provide Customer with a written estimate for Customer’s approval detailing the additional costs to be incurred by Transwestern.  If Customer approves in writing the incremental charges, then upon such additional operation or maintenance activity, Transwestern shall bill Customer for the approved charges on a quarterly basis.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 xml:space="preserve">On or before the </w:t>
      </w:r>
      <w:r>
        <w:rPr>
          <w:rFonts w:cs="Times New Roman" w:ascii="Times New Roman" w:hAnsi="Times New Roman"/>
          <w:i/>
          <w:sz w:val="24"/>
        </w:rPr>
        <w:t>[fourth]</w:t>
      </w:r>
      <w:r>
        <w:rPr>
          <w:rFonts w:cs="Times New Roman" w:ascii="Times New Roman" w:hAnsi="Times New Roman"/>
          <w:sz w:val="24"/>
        </w:rPr>
        <w:t xml:space="preserve"> Business Day of each month, Transwestern shall provide Customer with the previous month's measurement readings of gas delivered to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rPr>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keepLines/>
        <w:numPr>
          <w:ilvl w:val="1"/>
          <w:numId w:val="2"/>
        </w:numPr>
        <w:jc w:val="both"/>
        <w:rPr>
          <w:rFonts w:ascii="Times New Roman" w:hAnsi="Times New Roman" w:cs="Times New Roman"/>
          <w:sz w:val="24"/>
          <w:u w:val="single"/>
        </w:rPr>
      </w:pPr>
      <w:r>
        <w:rPr>
          <w:rFonts w:cs="Times New Roman" w:ascii="Times New Roman" w:hAnsi="Times New Roman"/>
          <w:sz w:val="24"/>
          <w:u w:val="single"/>
        </w:rPr>
        <w:t>Indemnification</w:t>
      </w:r>
    </w:p>
    <w:p>
      <w:pPr>
        <w:pStyle w:val="Normal"/>
        <w:keepNext w:val="true"/>
        <w:keepLines/>
        <w:jc w:val="both"/>
        <w:rPr>
          <w:rFonts w:ascii="Times New Roman" w:hAnsi="Times New Roman" w:cs="Times New Roman"/>
          <w:sz w:val="24"/>
          <w:u w:val="single"/>
        </w:rPr>
      </w:pPr>
      <w:r>
        <w:rPr>
          <w:rFonts w:cs="Times New Roman" w:ascii="Times New Roman" w:hAnsi="Times New Roman"/>
          <w:sz w:val="24"/>
          <w:u w:val="single"/>
        </w:rPr>
      </w:r>
    </w:p>
    <w:p>
      <w:pPr>
        <w:pStyle w:val="BodyTextIndent"/>
        <w:rPr/>
      </w:pPr>
      <w:r>
        <w:rPr/>
        <w:tab/>
        <w:t>a.</w:t>
        <w:tab/>
        <w:t>Transwestern shall protect, indemnify and save harmless Customer,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Customer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Customer or its agent(s) arising out of or in connection with its obligations under the terms of this Agreement, and shall pay any judgments of any nature rendered against such person for such injuries or damage due to or arising out of or in connection with such negligence of Customer or its agent(s).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liability, loss, claim, damage, penalty, cause of action or suit arises from the joint negligence of Transwestern or its agent(s) and Customer or its agent(s), each Party's responsibility for its portion of the liability, loss, claim, damage, penalty, cause of action or suit shall be determined in accordance with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d.</w:t>
        <w:tab/>
        <w:t>Notwithstanding anything stated to the contrary herein, with respect to the operation of the facilities pursuant to this Agreement, Transwestern shall indemnify and hold customer harmless from and against any and all fines, penalties, claims, demands, losses, damages, causes of action, suits and liabilities of every kind to the extent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facilities and is not Transwestern's or its agent's error.</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Failure to Perform</w:t>
      </w:r>
      <w:r>
        <w:rPr>
          <w:rFonts w:cs="Times New Roman" w:ascii="Times New Roman" w:hAnsi="Times New Roman"/>
          <w:sz w:val="24"/>
        </w:rPr>
        <w:t>.  Unless performance is excused by another provision of this Agreement, if either Party fails to perform its obligations in accordance with the provisions of this Agreement, then the non-defaulting party 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THE PARTY'S SOLE, JOINT OR CONCURRENT NEGLIGENCE.</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SEVERABILITY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i/>
                <w:i/>
                <w:sz w:val="24"/>
              </w:rPr>
            </w:pPr>
            <w:r>
              <w:rPr>
                <w:rFonts w:cs="Times New Roman" w:ascii="Times New Roman" w:hAnsi="Times New Roman"/>
                <w:i/>
                <w:sz w:val="24"/>
              </w:rPr>
              <w:t>[Customer]</w:t>
            </w:r>
          </w:p>
          <w:p>
            <w:pPr>
              <w:pStyle w:val="Normal"/>
              <w:keepNext w:val="true"/>
              <w:ind w:start="432" w:end="0"/>
              <w:jc w:val="both"/>
              <w:rPr>
                <w:rFonts w:ascii="Times New Roman" w:hAnsi="Times New Roman" w:cs="Times New Roman"/>
                <w:i/>
                <w:i/>
                <w:sz w:val="24"/>
              </w:rPr>
            </w:pPr>
            <w:r>
              <w:rPr>
                <w:rFonts w:cs="Times New Roman" w:ascii="Times New Roman" w:hAnsi="Times New Roman"/>
                <w:i/>
                <w:sz w:val="24"/>
              </w:rPr>
              <w:t>[address]</w:t>
            </w:r>
          </w:p>
          <w:p>
            <w:pPr>
              <w:pStyle w:val="Normal"/>
              <w:keepNext w:val="true"/>
              <w:ind w:start="432" w:end="0"/>
              <w:jc w:val="both"/>
              <w:rPr>
                <w:rFonts w:ascii="Times New Roman" w:hAnsi="Times New Roman" w:cs="Times New Roman"/>
                <w:i/>
                <w:i/>
                <w:sz w:val="24"/>
              </w:rPr>
            </w:pPr>
            <w:r>
              <w:rPr>
                <w:rFonts w:cs="Times New Roman" w:ascii="Times New Roman" w:hAnsi="Times New Roman"/>
                <w:i/>
                <w:sz w:val="24"/>
              </w:rPr>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 xml:space="preserve">Telephone: </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 xml:space="preserve">Fax: </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[Customer]</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3">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2000-10-11T19:09:00Z</dcterms:created>
  <dc:creator>Jennie Ruth Waynick</dc:creator>
  <dc:description/>
  <dc:language>en-CA</dc:language>
  <cp:lastModifiedBy>Susan Scott</cp:lastModifiedBy>
  <cp:lastPrinted>2000-10-11T16:07:00Z</cp:lastPrinted>
  <dcterms:modified xsi:type="dcterms:W3CDTF">2000-10-11T19:09:00Z</dcterms:modified>
  <cp:revision>2</cp:revision>
  <dc:subject/>
  <dc:title>INTERCONNECT AND OPERATING AGREEMENT</dc:title>
</cp:coreProperties>
</file>