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footer4.xml" ContentType="application/vnd.openxmlformats-officedocument.wordprocessingml.footer+xml"/>
  <Override PartName="/word/footer5.xml" ContentType="application/vnd.openxmlformats-officedocument.wordprocessingml.footer+xml"/>
  <Override PartName="/word/theme/theme1.xml" ContentType="application/vnd.openxmlformats-officedocument.theme+xml"/>
  <Override PartName="/word/footnotes.xml" ContentType="application/vnd.openxmlformats-officedocument.wordprocessingml.footnotes+xml"/>
  <Override PartName="/word/fontTable.xml" ContentType="application/vnd.openxmlformats-officedocument.wordprocessingml.fontTable+xml"/>
  <Override PartName="/word/numbering.xml" ContentType="application/vnd.openxmlformats-officedocument.wordprocessingml.numbering+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b/>
        </w:rPr>
      </w:pPr>
      <w:r>
        <w:rPr>
          <w:b/>
        </w:rPr>
        <w:t>OPENING BRIEF OF THE UTILITY REFORM NETWORK</w:t>
      </w:r>
    </w:p>
    <w:p>
      <w:pPr>
        <w:pStyle w:val="Heading1"/>
        <w:numPr>
          <w:ilvl w:val="0"/>
          <w:numId w:val="0"/>
        </w:numPr>
        <w:ind w:hanging="0" w:start="0"/>
        <w:rPr>
          <w:b w:val="false"/>
        </w:rPr>
      </w:pPr>
      <w:r>
        <w:rPr>
          <w:b w:val="false"/>
        </w:rPr>
      </w:r>
    </w:p>
    <w:p>
      <w:pPr>
        <w:pStyle w:val="Heading1"/>
        <w:ind w:hanging="0" w:start="0"/>
        <w:rPr/>
      </w:pPr>
      <w:bookmarkStart w:id="0" w:name="__RefHeading___Toc487876549"/>
      <w:r>
        <w:rPr/>
        <w:t>introduction</w:t>
      </w:r>
      <w:bookmarkEnd w:id="0"/>
      <w:r>
        <w:rPr/>
        <w:t xml:space="preserve"> </w:t>
      </w:r>
    </w:p>
    <w:p>
      <w:pPr>
        <w:pStyle w:val="Heading2"/>
        <w:ind w:hanging="0" w:start="0"/>
        <w:rPr/>
      </w:pPr>
      <w:bookmarkStart w:id="1" w:name="__RefHeading___Toc487876550"/>
      <w:r>
        <w:rPr/>
        <w:t>procedural history</w:t>
      </w:r>
      <w:bookmarkEnd w:id="1"/>
      <w:r>
        <w:rPr/>
        <w:t xml:space="preserve"> </w:t>
      </w:r>
    </w:p>
    <w:p>
      <w:pPr>
        <w:pStyle w:val="Footer"/>
        <w:tabs>
          <w:tab w:val="clear" w:pos="4320"/>
          <w:tab w:val="clear" w:pos="8640"/>
        </w:tabs>
        <w:rPr/>
      </w:pPr>
      <w:r>
        <w:rPr/>
      </w:r>
    </w:p>
    <w:p>
      <w:pPr>
        <w:pStyle w:val="Normal"/>
        <w:ind w:firstLine="720" w:end="0"/>
        <w:rPr/>
      </w:pPr>
      <w:r>
        <w:rPr/>
        <w:t>The origins of this proceeding date back to R.98-01-011, in which the Commission assessed the current market and regulatory framework in order to identify reforms than emphasize market-oriented policies which would promote healthy competition and benefit all customers. After soliciting voluminous evidence, the Commission issued Decision 99-07-015, the “Phase One” decision, which identified various promising options for further consideration.</w:t>
      </w:r>
    </w:p>
    <w:p>
      <w:pPr>
        <w:pStyle w:val="Normal"/>
        <w:ind w:firstLine="720" w:end="0"/>
        <w:rPr/>
      </w:pPr>
      <w:r>
        <w:rPr/>
        <w:t>Upon issuing D.99-07-015, the Commission instituted this investigation, whose goal was “to receive evidence concerning the costs and benefits of the various change options and to consider the final proposals that should be included in a forthcoming report to the Legislature.” OII 99-07-003, p.1. The Commission encouraged the parties to reach a comprehensive settlement of the issues.</w:t>
      </w:r>
    </w:p>
    <w:p>
      <w:pPr>
        <w:pStyle w:val="BodyTextIndent"/>
        <w:rPr/>
      </w:pPr>
      <w:r>
        <w:rPr/>
        <w:t>On December 27, 1999, the Southern California Gas Company (“SoCalGas”) , the Southern California Generation Coalition (“SCGC”), the California Industrial Group and California Manufacturers Association (“CIG/CMA”) and several other parties filed the “Interim Settlement Enhancing and Enabling Competitive Markets on the SoCalGas System” (“ISA”).  The Utility Reform Network (“TURN”) did not join the Interim Settlement, but also did not protest this settlement.  On April 3, 2000, TURN, SCGC and Aglet filed the Post-Interim Settlement Agreement (“PSA”), which entirely incorporated the Interim Settlement, but also added some new provisions, primarily regarding unbundling of core interstate capacity, allocation of ITCS costs and risk sharing of storage costs.</w:t>
      </w:r>
      <w:r>
        <w:rPr>
          <w:rStyle w:val="FootnoteCharacters"/>
          <w:rStyle w:val="FootnoteReference"/>
        </w:rPr>
        <w:footnoteReference w:id="2"/>
      </w:r>
      <w:r>
        <w:rPr/>
        <w:t xml:space="preserve">  On April 17, 2000, SoCalGas and several other parties filed the Comprehensive Settlement Agreement (“CSA”), proposing further unbundling of the SoCalGas system components. </w:t>
      </w:r>
    </w:p>
    <w:p>
      <w:pPr>
        <w:pStyle w:val="Normal"/>
        <w:ind w:firstLine="720" w:end="0"/>
        <w:rPr/>
      </w:pPr>
      <w:r>
        <w:rPr/>
        <w:t>Thus, the Commission has before two competing settlement proposals.</w:t>
      </w:r>
      <w:r>
        <w:rPr>
          <w:rStyle w:val="FootnoteCharacters"/>
          <w:rStyle w:val="FootnoteReference"/>
        </w:rPr>
        <w:footnoteReference w:id="3"/>
      </w:r>
      <w:r>
        <w:rPr/>
        <w:t xml:space="preserve"> In addition, the City of Long Beach proposed an alternative auction mechanism for unbundled transmission and storage.  </w:t>
      </w:r>
    </w:p>
    <w:p>
      <w:pPr>
        <w:pStyle w:val="Normal"/>
        <w:ind w:firstLine="720" w:end="0"/>
        <w:rPr/>
      </w:pPr>
      <w:r>
        <w:rPr/>
        <w:t>Pursuant to the schedule established by ALJ Biren, TURN respectfully submits this opening brief in the hope that it will assist the Commission evaluating the costs and benefits of the promising options.</w:t>
      </w:r>
    </w:p>
    <w:p>
      <w:pPr>
        <w:pStyle w:val="Heading2"/>
        <w:ind w:hanging="0" w:start="0"/>
        <w:rPr/>
      </w:pPr>
      <w:bookmarkStart w:id="2" w:name="__RefHeading___Toc487876551"/>
      <w:bookmarkEnd w:id="2"/>
      <w:r>
        <w:rPr/>
        <w:t>Two Competing Visions of the Future: or, who gets the money?</w:t>
      </w:r>
    </w:p>
    <w:p>
      <w:pPr>
        <w:pStyle w:val="Normal"/>
        <w:ind w:firstLine="720" w:end="0"/>
        <w:rPr/>
      </w:pPr>
      <w:r>
        <w:rPr/>
      </w:r>
    </w:p>
    <w:p>
      <w:pPr>
        <w:pStyle w:val="Normal"/>
        <w:ind w:firstLine="720" w:end="0"/>
        <w:rPr/>
      </w:pPr>
      <w:r>
        <w:rPr/>
        <w:t xml:space="preserve">This proceeding offers the Commission a choice between two distinct, though not so entirely different, visions of how to further restructure the provision of gas services in the service area of the Southern California Gas Company. One vision proposes rapid unbundling and restructuring to graft the “PG&amp;E model” onto the SoCalGas system. The other vision urges that certain operational changes, on which there is almost unanimous agreement, be implemented at once to promote system efficiency, but that other changes be delayed until system performance can be assessed. TURN urges the Commission to consider carefully the potential costs and benefits of the competing approaches.  TURN believes the Commission will find that the incremental approach offers the best method of improving system efficiency without increasing customer costs or jeopardizing the reliability of gas supplies, especially for electric generators. </w:t>
      </w:r>
    </w:p>
    <w:p>
      <w:pPr>
        <w:pStyle w:val="Normal"/>
        <w:ind w:firstLine="720" w:end="0"/>
        <w:rPr/>
      </w:pPr>
      <w:r>
        <w:rPr/>
        <w:t>TURN also urges the Commission to consider whose interests are best served by these two visions. The incremental approach of the Post-Interim Settlement Agreement is sponsored by TURN, SCGC, and Aglet, who represent small core customers and large electric generators. The Comprehensive Settlement Agreement is promoted most vigorously by marketers and potential storage competitors. Of the eleven pieces of direct testimony filed in support of the Comprehensive Settlement Agreement (Exhibits 2-12), only one – Exhibit 4 from ORA witness Pocta – was from an end-use customer representative.  CIG/CMA did not file any testimony or participate actively in the hearings. Most of the testimony was from marketers, producers and potential storage providers who would compete for the provision of storage services under the new unbundled regime.</w:t>
      </w:r>
    </w:p>
    <w:p>
      <w:pPr>
        <w:pStyle w:val="Normal"/>
        <w:rPr/>
      </w:pPr>
      <w:r>
        <w:rPr/>
        <w:tab/>
        <w:t>While the utility and certain high load factor noncore customers have joined the Comprehensive Settlement Agreement, those parties also signed the Interim Settlement which forms the fundamental framework for the Post-Interim Settlement Agreement. The following provisions of the Comprehensive Settlement Agreement conflict directly with provisions of the Interim Settlement, which is wholly incorporated in the Post-Interim Settlement Agreement:</w:t>
      </w:r>
    </w:p>
    <w:p>
      <w:pPr>
        <w:pStyle w:val="Normal"/>
        <w:numPr>
          <w:ilvl w:val="0"/>
          <w:numId w:val="3"/>
        </w:numPr>
        <w:tabs>
          <w:tab w:val="left" w:pos="720" w:leader="none"/>
        </w:tabs>
        <w:spacing w:lineRule="auto" w:line="240" w:before="0" w:after="240"/>
        <w:ind w:hanging="360" w:start="720" w:end="0"/>
        <w:rPr/>
      </w:pPr>
      <w:r>
        <w:rPr/>
        <w:t>The establishment of a system of firm, tradable rights in SoCalGas’ intrastate transmission capacity (CSA § 1.1.3);</w:t>
      </w:r>
    </w:p>
    <w:p>
      <w:pPr>
        <w:pStyle w:val="Normal"/>
        <w:numPr>
          <w:ilvl w:val="0"/>
          <w:numId w:val="4"/>
        </w:numPr>
        <w:tabs>
          <w:tab w:val="left" w:pos="720" w:leader="none"/>
        </w:tabs>
        <w:spacing w:lineRule="auto" w:line="240" w:before="0" w:after="240"/>
        <w:ind w:hanging="360" w:start="720" w:end="0"/>
        <w:rPr/>
      </w:pPr>
      <w:r>
        <w:rPr>
          <w:rFonts w:eastAsia="Arial"/>
        </w:rPr>
        <w:t xml:space="preserve"> </w:t>
      </w:r>
      <w:r>
        <w:rPr/>
        <w:t xml:space="preserve">The unbundling of the cost of SoCalGas’ intrastate transmission system (CSA § 1.1.3.2); </w:t>
      </w:r>
    </w:p>
    <w:p>
      <w:pPr>
        <w:pStyle w:val="Normal"/>
        <w:numPr>
          <w:ilvl w:val="0"/>
          <w:numId w:val="4"/>
        </w:numPr>
        <w:tabs>
          <w:tab w:val="left" w:pos="720" w:leader="none"/>
        </w:tabs>
        <w:spacing w:lineRule="auto" w:line="240" w:before="0" w:after="240"/>
        <w:ind w:hanging="360" w:start="720" w:end="0"/>
        <w:rPr/>
      </w:pPr>
      <w:r>
        <w:rPr/>
        <w:t>The reduction of the core storage capacity reservation and the storage reservation for load balancing, with the related capacity being added to the SoCalGas’ unbundled storage service (CSA § 2.1.3.1);</w:t>
      </w:r>
    </w:p>
    <w:p>
      <w:pPr>
        <w:pStyle w:val="Normal"/>
        <w:numPr>
          <w:ilvl w:val="0"/>
          <w:numId w:val="4"/>
        </w:numPr>
        <w:tabs>
          <w:tab w:val="left" w:pos="720" w:leader="none"/>
        </w:tabs>
        <w:spacing w:lineRule="auto" w:line="240" w:before="0" w:after="240"/>
        <w:ind w:hanging="360" w:start="720" w:end="0"/>
        <w:rPr/>
      </w:pPr>
      <w:r>
        <w:rPr/>
        <w:t xml:space="preserve">That CAT marketers be given the option to reject up to 100% of their reliability storage (CSA §5.4.4); and </w:t>
      </w:r>
    </w:p>
    <w:p>
      <w:pPr>
        <w:pStyle w:val="Normal"/>
        <w:numPr>
          <w:ilvl w:val="0"/>
          <w:numId w:val="4"/>
        </w:numPr>
        <w:tabs>
          <w:tab w:val="left" w:pos="720" w:leader="none"/>
        </w:tabs>
        <w:spacing w:lineRule="auto" w:line="240" w:before="0" w:after="360"/>
        <w:ind w:hanging="360" w:start="720" w:end="0"/>
        <w:rPr/>
      </w:pPr>
      <w:r>
        <w:rPr/>
        <w:t>That balancing service be unbundled and made optional (CSA §3.2).</w:t>
      </w:r>
    </w:p>
    <w:p>
      <w:pPr>
        <w:pStyle w:val="Normal"/>
        <w:spacing w:lineRule="auto" w:line="240" w:before="0" w:after="360"/>
        <w:ind w:start="360" w:end="0"/>
        <w:rPr/>
      </w:pPr>
      <w:r>
        <w:rPr/>
      </w:r>
    </w:p>
    <w:p>
      <w:pPr>
        <w:pStyle w:val="Normal"/>
        <w:spacing w:before="0" w:after="120"/>
        <w:rPr/>
      </w:pPr>
      <w:r>
        <w:rPr/>
        <w:t>The Comprehensive Settlement Agreement tiptoes around this conflict, without ever quite admitting its existence.  However, that agreement contains some language that is highly unusual, to say the least, in the context of a CPUC settlement agreement:</w:t>
      </w:r>
    </w:p>
    <w:p>
      <w:pPr>
        <w:pStyle w:val="Normal"/>
        <w:spacing w:lineRule="auto" w:line="240" w:before="0" w:after="240"/>
        <w:ind w:start="720" w:end="0"/>
        <w:rPr/>
      </w:pPr>
      <w:r>
        <w:rPr/>
        <w:t>Some of the Parties to this Settlement Agreement signed a settlement filed on December 27, 1999, in I.99-07-003 referred to as the “Interim Settlement.”  This Settlement Agreement incorporates many of the provisions of the Interim Settlement, but is more consistent with the promising options as identified by the Commission in D.99-07-015.  To the extent that the Commission finds the Interim Settlement insufficiently consistent with the promising options identified by the Commission in D.99-07-015 or otherwise finds it unacceptable, the Parties to this Settlement Agreement who signed the Interim Settlement support the full implementation of this Settlement Agreement.  (CSA § 1.12, p.7)</w:t>
      </w:r>
    </w:p>
    <w:p>
      <w:pPr>
        <w:pStyle w:val="Normal"/>
        <w:ind w:firstLine="720" w:end="0"/>
        <w:rPr/>
      </w:pPr>
      <w:r>
        <w:rPr/>
        <w:t xml:space="preserve">This language seems to imply that those parties who have signed both settlements really support the Interim Settlement, but that if the Commission rejects the Interim Settlement, then the Comprehensive Settlement Agreement is offered as a sort of fallback position.  However, Section 1.2 of the Comprehensive Settlement Agreement, at page 1, states that: </w:t>
      </w:r>
    </w:p>
    <w:p>
      <w:pPr>
        <w:pStyle w:val="BodyTextIndent3"/>
        <w:rPr/>
      </w:pPr>
      <w:r>
        <w:rPr/>
        <w:t>Parties agree, subject to Section 1.12 of this Part I, to actively support this Settlement Agreement in I.99-07-003 and to not oppose any provision of this Settlement Agreement in any regulatory, legislative or judicial forum.</w:t>
      </w:r>
    </w:p>
    <w:p>
      <w:pPr>
        <w:pStyle w:val="BodyTextIndent3"/>
        <w:rPr/>
      </w:pPr>
      <w:r>
        <w:rPr/>
      </w:r>
    </w:p>
    <w:p>
      <w:pPr>
        <w:pStyle w:val="Normal"/>
        <w:spacing w:lineRule="auto" w:line="240"/>
        <w:ind w:start="720" w:end="0"/>
        <w:rPr/>
      </w:pPr>
      <w:r>
        <w:rPr/>
      </w:r>
    </w:p>
    <w:p>
      <w:pPr>
        <w:pStyle w:val="Normal"/>
        <w:spacing w:before="0" w:after="120"/>
        <w:rPr/>
      </w:pPr>
      <w:r>
        <w:rPr/>
        <w:t>If these parties to the Comprehensive Settlement Agreement support it only to the extent that the Commission finds the Interim Setttlement unacceptable, then why are they agreeing to actively support the Comprehensive Settlement Agreement in this proceeding?  Any why would parties who claim to support the Comprehensive Settlement Agreement have to pledge “to not oppose” that agreement in any other forum, if indeed they really do support it?  The Commission must ask itself whether the support for the Comprehensive Settlement Agreement is really as broad as its proponents suggest, given that the best they seem to be able to offer is that they will “not oppose” any provision of it.  Clearly the supporters of the Post-Interim Settlement Agreement do not suffer from the same kind of mixed feelings as those who have signed the Comprehensive Settlement Agreement.</w:t>
      </w:r>
    </w:p>
    <w:p>
      <w:pPr>
        <w:pStyle w:val="Normal"/>
        <w:ind w:firstLine="720" w:end="0"/>
        <w:rPr/>
      </w:pPr>
      <w:r>
        <w:rPr/>
        <w:t>TURN suggests that the Post-Interim Settlement Agreement will benefit end-use customers, while the immediate unbundling approach advocated by the Comprehensive Settlement Agreement, will benefit primarily marketers who can obtain value by controlling unregulated transmission and storage assets. The Post-Interim Settlement Agreement accomplishes all of the major operational changes – replacing windowing, liberalized imbalance trading, pooling, and others – which address almost all of the customer complaints voiced in R.98-01-011. The Post-Interim Settlement Agreement provides a model for evaluating the effect of these changes upon system efficiency for up to two and a half years before pursuing any additional unbundling of storage or balancing after January 1, 2003. The Post-Interim Settlement Agreement precludes unbundling of intrastate transmission before September 1, 2006, as inimical to the interests of end-use customers.</w:t>
      </w:r>
    </w:p>
    <w:p>
      <w:pPr>
        <w:pStyle w:val="Normal"/>
        <w:rPr/>
      </w:pPr>
      <w:r>
        <w:rPr/>
        <w:tab/>
        <w:t>The most succinct and stark evaluation of the results of the Comprehensive Settlement Agreement and the Post-Interim Settlement Agreement is presented in Sections 1.3 and 1.4 of Exhibit 102, the rebuttal testimony of Mr. Florio.  Mr. Florio tracks all the major benefits of the Comprehensive Settlement Agreement listed by Mr. Lorenz and demonstrates that each one is either adopted by the Post-Interim Settlement Agreement or is highly speculative. Rather than boring the reader with repetition, this testimony is attached in its entirety as Appendix A.</w:t>
      </w:r>
    </w:p>
    <w:p>
      <w:pPr>
        <w:pStyle w:val="Heading2"/>
        <w:ind w:hanging="0" w:start="0"/>
        <w:rPr/>
      </w:pPr>
      <w:bookmarkStart w:id="3" w:name="__RefHeading___Toc487876552"/>
      <w:bookmarkEnd w:id="3"/>
      <w:r>
        <w:rPr/>
        <w:t>Outline of this Opening Brief</w:t>
      </w:r>
    </w:p>
    <w:p>
      <w:pPr>
        <w:pStyle w:val="Normal"/>
        <w:ind w:firstLine="720" w:end="0"/>
        <w:rPr/>
      </w:pPr>
      <w:r>
        <w:rPr/>
      </w:r>
    </w:p>
    <w:p>
      <w:pPr>
        <w:pStyle w:val="Normal"/>
        <w:ind w:firstLine="720" w:end="0"/>
        <w:rPr/>
      </w:pPr>
      <w:r>
        <w:rPr/>
        <w:t>In this brief TURN will evaluate the costs and benefits of the two competing settlements, focusing on the potential impacts upon our members, the core customers.</w:t>
      </w:r>
      <w:r>
        <w:rPr>
          <w:rStyle w:val="FootnoteCharacters"/>
        </w:rPr>
        <w:t xml:space="preserve"> </w:t>
      </w:r>
      <w:r>
        <w:rPr>
          <w:rStyle w:val="FootnoteCharacters"/>
          <w:rStyle w:val="FootnoteReference"/>
        </w:rPr>
        <w:footnoteReference w:id="4"/>
      </w:r>
      <w:r>
        <w:rPr/>
        <w:t xml:space="preserve"> For this reason, the brief first addresses the issue of core interstate capacity unbundling and the core aggregation transport (“CAT”) program, due to its fundamental importance for core customers (Section II). Next, the brief addresses intrastate transmission, storage and balancing issues (Sections III and IV). Section V discusses the allocation impacts of embedded cost unbundling. Section VI addresses the retail sections of the Comprehensive Settlement Agreement, and Section VII deals with various issues related to risk sharing, revenue treatment and assorted benefits to SoCalGas. Finally, Section VIII summarizes the costs and benefits for retail core customers.</w:t>
      </w:r>
    </w:p>
    <w:p>
      <w:pPr>
        <w:pStyle w:val="Normal"/>
        <w:ind w:firstLine="720" w:end="0"/>
        <w:rPr/>
      </w:pPr>
      <w:r>
        <w:rPr/>
        <w:t>There is one definitional matter to clarify. Technically, core procurement customers are those who purchase gas from the SoCalGas Gas Acquisition Department. These customers are also referred to as “core sales” or “retail core” customers. Customers who purchase gas from an aggregator through the Commission approved Core Aggregation Transport program are referred to as “core transport” or “CAT” customers.</w:t>
      </w:r>
      <w:r>
        <w:rPr>
          <w:rStyle w:val="FootnoteCharacters"/>
          <w:rStyle w:val="FootnoteReference"/>
        </w:rPr>
        <w:footnoteReference w:id="5"/>
      </w:r>
      <w:r>
        <w:rPr/>
        <w:t xml:space="preserve"> TURN generally denotes all core customers by reference to “core customers.” TURN sometimes refers only to the SoCalGas Gas Acquisition Department (which serves core sales customers) as “the core.”</w:t>
      </w:r>
    </w:p>
    <w:p>
      <w:pPr>
        <w:pStyle w:val="Normal"/>
        <w:ind w:firstLine="720" w:end="0"/>
        <w:rPr/>
      </w:pPr>
      <w:r>
        <w:rPr/>
        <w:t xml:space="preserve">In the following sections TURN intends to demonstrate why, from the standpoint of the residential and small commercial and industrial customers who form the “core” customer class, the adoption of the Post-Interim Settlement Agreement offers the most promising path for maximizing system efficiency without imposing unnecessary risks on customers. </w:t>
      </w:r>
    </w:p>
    <w:p>
      <w:pPr>
        <w:pStyle w:val="Heading1"/>
        <w:ind w:hanging="0" w:start="0"/>
        <w:rPr/>
      </w:pPr>
      <w:bookmarkStart w:id="4" w:name="__RefHeading___Toc487876553"/>
      <w:bookmarkEnd w:id="4"/>
      <w:r>
        <w:rPr/>
        <w:t>both the Post-Interim Settlement Agreement and the Comprehensive Settlement Agreement provide the benefits of ELIMINATINg THE CORE ITCS and UNBUNDLING CORE INTERSTATE CAPACITY</w:t>
      </w:r>
    </w:p>
    <w:p>
      <w:pPr>
        <w:pStyle w:val="Normal"/>
        <w:ind w:start="720" w:end="0"/>
        <w:rPr/>
      </w:pPr>
      <w:r>
        <w:rPr/>
      </w:r>
    </w:p>
    <w:p>
      <w:pPr>
        <w:pStyle w:val="Normal"/>
        <w:ind w:firstLine="720" w:end="0"/>
        <w:rPr/>
      </w:pPr>
      <w:r>
        <w:rPr/>
        <w:t>The proponents of the Comprehensive Settlement Agreement claim their settlement provides various benefits for core customers.  It turns out that all of the economic benefits for retail core customers stem from one change – elimination of the core ITCS contribution - and most of the additional economic benefits for core transport customers stem from the unbundling of core interstate capacity. The irony is that both of these changes are also implemented by the Post-Interim Settlement Agreement. The only difference between the settlements is that the Post-Interim Settlement Agreement more equitably allocates the stranded costs resulting from core interstate capacity unbundling.</w:t>
      </w:r>
    </w:p>
    <w:p>
      <w:pPr>
        <w:pStyle w:val="Heading2"/>
        <w:ind w:hanging="0" w:start="0"/>
        <w:rPr/>
      </w:pPr>
      <w:bookmarkStart w:id="5" w:name="__RefHeading___Toc487876554"/>
      <w:bookmarkEnd w:id="5"/>
      <w:r>
        <w:rPr/>
        <w:t>Both the Post-Interim Settlement Agreement and the Comprehensive Settlement Agreement eliminate the core ITCS contribution</w:t>
      </w:r>
    </w:p>
    <w:p>
      <w:pPr>
        <w:pStyle w:val="Normal"/>
        <w:rPr/>
      </w:pPr>
      <w:r>
        <w:rPr/>
      </w:r>
    </w:p>
    <w:p>
      <w:pPr>
        <w:pStyle w:val="Normal"/>
        <w:ind w:firstLine="720" w:end="0"/>
        <w:rPr/>
      </w:pPr>
      <w:r>
        <w:rPr/>
        <w:t>Core customers have incurred approximately $160 million of the costs of unbundling interstate capacity for noncore customers since 1993 through the core “10% contribution” to the Interstate Transition Cost Surcharge (“ITCS”) account.</w:t>
      </w:r>
      <w:r>
        <w:rPr>
          <w:rStyle w:val="FootnoteCharacters"/>
          <w:rStyle w:val="FootnoteReference"/>
        </w:rPr>
        <w:footnoteReference w:id="6"/>
      </w:r>
      <w:r>
        <w:rPr/>
        <w:t xml:space="preserve"> Both the Post-Interim Settlement Agreement (§4.1) and the Comprehensive Settlement Agreement (§5.3.3.5) eliminate this core “10% contribution” on January 1, 2002, consistent with the terms of the BCAP Joint Recommendation. Both settlements provide this “benefit” to the core market.</w:t>
      </w:r>
      <w:r>
        <w:rPr>
          <w:rStyle w:val="FootnoteCharacters"/>
          <w:rStyle w:val="FootnoteReference"/>
        </w:rPr>
        <w:footnoteReference w:id="7"/>
      </w:r>
      <w:r>
        <w:rPr/>
        <w:t xml:space="preserve">  (RT 111, Florio/TURN.) The issue of the core’s ITCS contribution has sparked contentious debate for years, and bears no structural relationship to the other changes implemented by either settlement.  </w:t>
      </w:r>
      <w:r>
        <w:rPr>
          <w:u w:val="single"/>
        </w:rPr>
        <w:t>It is strictly an issue of cost allocation resulting from past unbundling</w:t>
      </w:r>
      <w:r>
        <w:rPr/>
        <w:t xml:space="preserve">. </w:t>
      </w:r>
    </w:p>
    <w:p>
      <w:pPr>
        <w:pStyle w:val="Normal"/>
        <w:ind w:firstLine="720" w:end="0"/>
        <w:rPr/>
      </w:pPr>
      <w:r>
        <w:rPr/>
        <w:t>The Post-Interim Settlement Agreement eliminates the core ITCS contribution and unbundles core interstate capacity for CAT customers.  The Post-Interim Settlement Agreement adopts the approach that after January 1, 2002, core and noncore customers will be separately responsible for the stranded costs associated with interstate capacity originally reserved for each customer class.  The Post-Interim Settlement Agreement does not attempt to shift other costs around to offset the results of this change.  It is obvious that eliminating the core ITCS contribution directly benefits the core by the exact amount of the core’s forecast ITCS contribution.</w:t>
      </w:r>
    </w:p>
    <w:p>
      <w:pPr>
        <w:pStyle w:val="Normal"/>
        <w:ind w:firstLine="720" w:end="0"/>
        <w:rPr/>
      </w:pPr>
      <w:r>
        <w:rPr/>
        <w:t xml:space="preserve">In contrast, the Comprehensive Settlement Agreement makes a huge deal of eliminating the 10% core ITCS contribution, since </w:t>
      </w:r>
      <w:r>
        <w:rPr>
          <w:u w:val="single"/>
        </w:rPr>
        <w:t>all of the financial benefit claimed by the Comprehensive Settlement Agreement for retail core customers results from this change</w:t>
      </w:r>
      <w:r>
        <w:rPr/>
        <w:t xml:space="preserve">.  As explained by Mr. Lorenz in his direct testimony (Exhibit 2, p. 27, ll. 7-8), and quantified in his Attachment 8, the estimated “benefit” to core customers from all the changes proposed in the capacity sections of the Comprehensive Settlement Agreement is $7.21 million.  This net “core benefit” includes a projected ITCS reduction of $7.56 million.  Without the elimination of the core ITCS contribution, the core would actually pay about $350,000 more in the cost allocation resulting from the capacity unbundling method proposed in the Comprehensive Settlement Agreement.  (RT 408, ll. 18-22, Lorenz/SoCalGas.) </w:t>
      </w:r>
    </w:p>
    <w:p>
      <w:pPr>
        <w:pStyle w:val="Normal"/>
        <w:ind w:firstLine="720" w:end="0"/>
        <w:rPr/>
      </w:pPr>
      <w:r>
        <w:rPr/>
        <w:t>While Mr. Lorenz directly acknowledges that the financial benefit for core customers from the Comprehensive Settlement Agreement results from eliminating the core’s ITCS responsibility, the same cannot be said for other supporters of the Comprehensive Settlement Agreement, who tout the $7.2 million benefit to core customers without mentioning that it results solely from ending the core ITCS responsibility.  For example, Mr. Nelson claimed the settlement “creates cost savings for all core customers by means of the capacity provisions.”  (Exh. 3, p. 2.)  Mr. Counihan testified that “the sum total rate impact of all of the changes in the ‘capacity’ portion of the Settlement is a net shift of $7 million from core customers to noncore customers” (Exh. 7, p. 18, ll. 24-27), implying that other portions of the Comprehensive Settlement Agreement result in a cost shift from core to noncore customers.</w:t>
      </w:r>
    </w:p>
    <w:p>
      <w:pPr>
        <w:pStyle w:val="Normal"/>
        <w:ind w:firstLine="720" w:end="0"/>
        <w:rPr/>
      </w:pPr>
      <w:r>
        <w:rPr/>
        <w:t xml:space="preserve">But obfuscation of the real cause of the “core benefit” is not just a matter of semantics.  Underlying the claim of a “benefit” to core customers is the reality that the embedded cost unbundling in the Comprehensive Settlement Agreement was consciously rigged to produce the same allocation as adopted in the current BCAP.  As explained in the section regarding embedded cost methodology, the parties to the Comprehensive Settlement Agreement adjusted costs so that core customers would not be benefited compared to current allocation.  Claiming that the capacity section of the Comprehensive Settlement Agreement produces a net benefit of $7.2 million camouflages the fact that the embedded cost methodology was result-driven, and that the “entire benefit” to core customers from the Comprehensive Settlement Agreement capacity provisions results from a change – elimination of the core ITCS - that has absolutely nothing to do with further unbundling of the SoCalGas system! </w:t>
      </w:r>
    </w:p>
    <w:p>
      <w:pPr>
        <w:pStyle w:val="Heading2"/>
        <w:ind w:hanging="0" w:start="0"/>
        <w:rPr/>
      </w:pPr>
      <w:bookmarkStart w:id="6" w:name="__RefHeading___Toc487876555"/>
      <w:bookmarkEnd w:id="6"/>
      <w:r>
        <w:rPr/>
        <w:t>All parties agree that unbundling core interstate capacity offers the greatest opportunity for added value for core transport customers</w:t>
      </w:r>
    </w:p>
    <w:p>
      <w:pPr>
        <w:pStyle w:val="Normal"/>
        <w:rPr/>
      </w:pPr>
      <w:r>
        <w:rPr/>
      </w:r>
    </w:p>
    <w:p>
      <w:pPr>
        <w:pStyle w:val="Normal"/>
        <w:ind w:firstLine="720" w:end="0"/>
        <w:rPr/>
      </w:pPr>
      <w:r>
        <w:rPr/>
        <w:t>Unbundling of core interstate capacity costs offers value to core transport customers in two ways.  First, customers do not have to pay the cost portion recovered by SoCalGas through brokering. Second, customers pay less of the stranded cost (the difference between SoCalGas’ demand charges at as-billed rates and its brokering revenues) if stranded costs are recovered from a larger pool of customers than the ones who would have had to pay the demand charges for the bundled capacity. It is this second method of creating value – by the allocation of stranded costs - that has sparked considerable controversy in the past and is a fundamental difference between the Post-Interim Settlement Agreement and the Comprehensive Settlement Agreement.</w:t>
      </w:r>
    </w:p>
    <w:p>
      <w:pPr>
        <w:pStyle w:val="Heading3"/>
        <w:ind w:hanging="0" w:start="0"/>
        <w:rPr/>
      </w:pPr>
      <w:bookmarkStart w:id="7" w:name="__RefHeading___Toc487876556"/>
      <w:bookmarkEnd w:id="7"/>
      <w:r>
        <w:rPr/>
        <w:t>There is a considerable price differential between bundled and unbundled interstate pipeline capacity</w:t>
      </w:r>
    </w:p>
    <w:p>
      <w:pPr>
        <w:pStyle w:val="Normal"/>
        <w:rPr/>
      </w:pPr>
      <w:r>
        <w:rPr/>
      </w:r>
    </w:p>
    <w:p>
      <w:pPr>
        <w:pStyle w:val="Normal"/>
        <w:ind w:firstLine="720" w:end="0"/>
        <w:rPr/>
      </w:pPr>
      <w:r>
        <w:rPr/>
        <w:t>SoCalGas holds long-term contract rights to 1440 MMcfd of interstate pipeline capacity.  1044 MMcfd of that capacity is reserved for use by Gas Acquisition on behalf of core customers.  SoCalGas pays the as-billed Transwestern and El Paso tariff rates (pipeline demand charges) for the capacity it holds. The Commission unbundled interstate pipeline capacity costs for noncore customers in D.91-11-025 and D.92-07-025. SoCalGas has brokered the approximately 400 MMcf/d it holds in excess of core interstate capacity through the capacity brokering program authorized by those decisions. Due to the excess of interstate pipeline capacity coming into California, the as-billed rates are considerably higher than market prices for interstate capacity. In the past two years, SoCalGas has recouped between 22 and 60% of the monthly demand charges for its reserved capacity through brokering. (Exh. 14, Attachment A, Lorenz.) In 1999 it recouped 53% of the total demand charges. Monthly average capacity release prices (ignoring total revenues) have fluctuated even more, reaching as high as 90% of the as-billed rates. (Exh. 101, p. 54, Yap.) Thus, parties have generally agreed that 40-50% is a reasonable estimate of the future value of brokered capacity. (e.g., Exh. 2, Attachment 8, Lorenz; Exh. 102, p. 41, Florio.) The price differential between the as-billed rates and market prices provides the possibility of considerable savings to those core transport customers who would theoretically pay only market rates for interstate capacity.</w:t>
      </w:r>
    </w:p>
    <w:p>
      <w:pPr>
        <w:pStyle w:val="Heading3"/>
        <w:ind w:hanging="0" w:start="0"/>
        <w:rPr/>
      </w:pPr>
      <w:bookmarkStart w:id="8" w:name="__RefHeading___Toc487876557"/>
      <w:bookmarkEnd w:id="8"/>
      <w:r>
        <w:rPr/>
        <w:t>Indeed, only the unbundling of interstate capacity can provide significant savings or value for core transport customers</w:t>
      </w:r>
    </w:p>
    <w:p>
      <w:pPr>
        <w:pStyle w:val="Normal"/>
        <w:rPr/>
      </w:pPr>
      <w:r>
        <w:rPr/>
      </w:r>
    </w:p>
    <w:p>
      <w:pPr>
        <w:pStyle w:val="Normal"/>
        <w:ind w:firstLine="720" w:end="0"/>
        <w:rPr/>
      </w:pPr>
      <w:r>
        <w:rPr/>
        <w:t>Witnesses for the Comprehensive Settlement Agreement expounded at length on the relationship between the capacity portion of the settlement and the benefits to “core” customers.  (e.g. Exh. 7, p. 5-6, Counihan; Exh. 3, pp. 26-27, Nelson.) TURN does not dispute that unbundling could produce financial savings, though as explained later in Section VIII.B, these benefits accrue only to core transport customers who obtain their gas from an aggregator.  A critical question in evaluating the Comprehensive Settlement Agreement is whether other elements of the settlement – unbundling intrastate transmission capacity, unbundling storage and balancing services, and instituting the “retail” provisions – can provide customer benefits. Savings can occur only if the cost of replacing these services with necessary equivalents (which could, in theory, be different if the customer does not require all the bundled services) through a core aggregator is less than the original bundled service.</w:t>
      </w:r>
    </w:p>
    <w:p>
      <w:pPr>
        <w:pStyle w:val="Normal"/>
        <w:ind w:firstLine="720" w:end="0"/>
        <w:rPr/>
      </w:pPr>
      <w:r>
        <w:rPr/>
        <w:t>The record shows that only core interstate capacity unbundling can provide significant savings. Assuming a 40% value for brokered capacity, such unbundling would create a price differential of 21 cents per decatherm.  (Exh. 13, p. 4, and RT 1166, ll. 4-9, Counihan.) The added value from unbundling the other capacity services in the Comprehensive Settlement Agreement are in comparison negligible. Assuming no replacement cost, unbundling of reliability/balancing capacity could produce a saving of up to 5.8 cents per decatherm, and unbundling of the non-reliability storage portion could produce a savings of up to 2.3 cents per decatherm.  The total potential saving from storage unbundling for CAT customers choosing self-balancing would be 9.7 cents per decatherm.</w:t>
      </w:r>
      <w:r>
        <w:rPr>
          <w:rStyle w:val="FootnoteCharacters"/>
          <w:rStyle w:val="FootnoteReference"/>
        </w:rPr>
        <w:footnoteReference w:id="8"/>
      </w:r>
      <w:r>
        <w:rPr/>
        <w:t xml:space="preserve">  (Exh. 2, Attach. 6, p. 4.) The net savings would be considerably less, since aggregators must purchase sufficient “Alternate Resources” to replace any rejected “reliability” storage (CSA, §5.4.4.10). The reliability/balancing storage accounts for most of the potential savings on storage unbundling. (RT 1167, Counihan.) Aggregators are also likely to require some storage for balancing purposes, given the more restrictive balancing and imbalance penalties in the Comprehensive Settlement Agreement. The prices for those services is unlikely to be much less than SoCalGas’ current prices. (RT 1167, ll. 12-20, Counihan.) </w:t>
      </w:r>
    </w:p>
    <w:p>
      <w:pPr>
        <w:pStyle w:val="Normal"/>
        <w:ind w:firstLine="720" w:end="0"/>
        <w:rPr/>
      </w:pPr>
      <w:r>
        <w:rPr/>
        <w:t>No witness quantified the potential benefit for core transport customers of unbundling intrastate transmission. (e.g., RT 1167, Counihan.) Comprehensive Settlement Agreement supporters argue that all customers may see benefits from a more competitive citygate market.  As discussed later in the Section on transmission, the evidence is ambiguous regarding the potential benefits of the citygate market, and there is a high risk that any economic benefits will become profits for marketers.</w:t>
      </w:r>
    </w:p>
    <w:p>
      <w:pPr>
        <w:pStyle w:val="Normal"/>
        <w:ind w:firstLine="720" w:end="0"/>
        <w:rPr/>
      </w:pPr>
      <w:r>
        <w:rPr/>
        <w:t>Thus, it is not surprising that in discussing the potential benefits for core transport customers, all witnesses eventually focus on interstate capacity unbundling. (e.g., Exh. 3, p. 26, ll. 16-22, Nelson; Exh. 13, p. 4, Counihan; RT 1123, ll. 1-7, Pocta.) These benefits result equally from the Post-Interim Settlement Agreement as well as the Comprehensive Settlement Agreement, though the resulting stranded costs are allocated differently (see Subsection C below).</w:t>
      </w:r>
    </w:p>
    <w:p>
      <w:pPr>
        <w:pStyle w:val="Heading3"/>
        <w:ind w:hanging="0" w:start="0"/>
        <w:rPr/>
      </w:pPr>
      <w:bookmarkStart w:id="9" w:name="__RefHeading___Toc487876558"/>
      <w:bookmarkEnd w:id="9"/>
      <w:r>
        <w:rPr/>
        <w:t>Participation levels in the PG&amp;E CAT program demonstrate that other capacity changes are unlikely to provide much customer value</w:t>
      </w:r>
    </w:p>
    <w:p>
      <w:pPr>
        <w:pStyle w:val="Normal"/>
        <w:rPr/>
      </w:pPr>
      <w:r>
        <w:rPr/>
      </w:r>
    </w:p>
    <w:p>
      <w:pPr>
        <w:pStyle w:val="Normal"/>
        <w:ind w:firstLine="720" w:end="0"/>
        <w:rPr/>
      </w:pPr>
      <w:r>
        <w:rPr/>
        <w:t>Proponents of the Comprehensive Settlement Agreement claim that the core aggregation transport program will flourish if the Commission implements the unbundling and retail changes proposed in the Comprehensive Settlement Agreement.  Those customers who participate in the program will then see the financial and non-financial benefits provided by marketers.  Mr. Counihan and Mr. Nelson predicted that the core aggregator program could expand up to 10% within one year and up to 30% within five years.  (RT 1117, Counihan; RT 1119, Nelson.)  Mr. Pocta of ORA was much more cautious, predicting that growth would be only 1-2 percent per year, reaching a maximum of up to 20% in five years. (RT 1122, Pocta.)</w:t>
      </w:r>
    </w:p>
    <w:p>
      <w:pPr>
        <w:pStyle w:val="Normal"/>
        <w:ind w:firstLine="720" w:end="0"/>
        <w:rPr/>
      </w:pPr>
      <w:r>
        <w:rPr/>
        <w:t xml:space="preserve">As shown in Exhibit 114, the PG&amp;E core aggregator program has not experienced significant growth from 1995 to 1999.  Proponents of the Comprehensive Settlement Agreement may claim that this is even more reason for instituting the changes proposed in their settlement.  However, several of the changes to the core aggregation program proposed by the Comprehensive Settlement Agreement had already been implemented for PG&amp;E in 1997 and 1998, without much effect on CAT penetration. </w:t>
      </w:r>
    </w:p>
    <w:p>
      <w:pPr>
        <w:pStyle w:val="Normal"/>
        <w:ind w:firstLine="720" w:end="0"/>
        <w:rPr/>
      </w:pPr>
      <w:r>
        <w:rPr/>
        <w:t xml:space="preserve">Core interstate capacity charges were unbundled from PG&amp;E core transportation rates in July 1997 pursuant to D.97-05-093. As part of the unbundling package, PG&amp;E shareholders provided core aggregators with a credit of 9.5 cents per decatherm. This “credit from PG&amp;E to core aggregators” was “intended to promote participation in the core transportation program.” D.97-05-093, slip op. at 3. Concurrent with the 10 cent credit, core aggregators had to pay for the costs of stranded interstate capacity up to 19 cents per decatherm, with PG&amp;E shareholders absorbing any difference. D.97-05-093, slip op. at 3. However, interstate capacity stranded costs on the PG&amp;E system ended in 1998. </w:t>
      </w:r>
    </w:p>
    <w:p>
      <w:pPr>
        <w:pStyle w:val="Normal"/>
        <w:ind w:firstLine="720" w:end="0"/>
        <w:rPr/>
      </w:pPr>
      <w:r>
        <w:rPr/>
        <w:t>Intrastate transmission capacity charges and storage costs were unbundled for core aggregators as part of the Gas Accord, which was implemented in March of 1998. The brokerage fee to account for procurement-related costs was likewise established in the Gas Accord at 2.4 cents per decatherm, the same level as set in Section 5.6.3 of the Comprehensive Settlement Agreement.</w:t>
      </w:r>
    </w:p>
    <w:p>
      <w:pPr>
        <w:pStyle w:val="Normal"/>
        <w:ind w:firstLine="720" w:end="0"/>
        <w:rPr/>
      </w:pPr>
      <w:r>
        <w:rPr/>
        <w:t xml:space="preserve">The data in figures 113 and 114 show that there was a relative jump in CAT participation from 1997 to 1998, from 3.93 to 4.72 percent of total core throughput.  The timing of this change corresponded to the unbundling of interstate capacity costs.  There is no major proportional growth (relative to the overall growth in core throughput) in 1998 or 1999, after implementation of the Gas Accord.  The core aggregation program did experience throughput growth, but only in the same proportion as general core throughput growth. </w:t>
      </w:r>
    </w:p>
    <w:p>
      <w:pPr>
        <w:pStyle w:val="Normal"/>
        <w:ind w:firstLine="720" w:end="0"/>
        <w:rPr/>
      </w:pPr>
      <w:r>
        <w:rPr/>
        <w:t>The only conclusion that can be inferred with reasonable certainty from the PG&amp;E experience is that the Gas Accord changes have provided insufficient added value on the PG&amp;E system to boost CAT participation.</w:t>
      </w:r>
    </w:p>
    <w:p>
      <w:pPr>
        <w:pStyle w:val="Normal"/>
        <w:ind w:firstLine="720" w:end="0"/>
        <w:rPr/>
      </w:pPr>
      <w:r>
        <w:rPr/>
        <w:t>Mr. Counihan lists all the various factors which could influence core aggregation sales which have been adopted for PG&amp;E.  (Exh. 7, pp. 12-13.)  Of all the factors listed, only the unbundling of the balancing function and the provisions of the retail portion of the Comprehensive Settlement Agreement (aside from the brokerage fee), were adopted in the PG&amp;E Settlement approved on May 18, 2000.  How much these provisions will impact the core aggregation program remains to be seen and is a matter of speculation.  What is reasonably certain from the PG&amp;E experiences is that unbundling of intrastate transmission and storage will not be major inducements to increase CAT program participation.</w:t>
      </w:r>
    </w:p>
    <w:p>
      <w:pPr>
        <w:pStyle w:val="Heading2"/>
        <w:ind w:hanging="0" w:start="0"/>
        <w:rPr/>
      </w:pPr>
      <w:bookmarkStart w:id="10" w:name="__RefHeading___Toc487876559"/>
      <w:bookmarkEnd w:id="10"/>
      <w:r>
        <w:rPr/>
        <w:t>The Comprehensive Settlement Agreement Shifts Most Of The Stranded interstate capacity Costs To Those Retail Core Customers Who Do Not Receive Any Of The Benefits, While The Post-Interim Settlement Agreement More Equitably Balances The Interests Of All Core Customers</w:t>
      </w:r>
    </w:p>
    <w:p>
      <w:pPr>
        <w:pStyle w:val="Normal"/>
        <w:rPr/>
      </w:pPr>
      <w:r>
        <w:rPr/>
      </w:r>
    </w:p>
    <w:p>
      <w:pPr>
        <w:pStyle w:val="Normal"/>
        <w:ind w:firstLine="720" w:end="0"/>
        <w:rPr/>
      </w:pPr>
      <w:r>
        <w:rPr/>
        <w:t>Both the Post-Interim Settlement Agreement (§4.3) and the Comprehensive Settlement Agreement (§5.3) unbundle core interstate transportation capacity for core aggregators, allowing core transport agents to reject SoCalGas’ reservation of interstate capacity in favor of other alternatives.  Since this provision takes effect on the effective date of each respective settlement, the Post-Interim Settlement Agreement provides this benefit at an earlier date.  The difference between the two settlements is in the allocation of the stranded costs between core transport and core sales customers.</w:t>
      </w:r>
    </w:p>
    <w:p>
      <w:pPr>
        <w:pStyle w:val="Normal"/>
        <w:ind w:firstLine="720" w:end="0"/>
        <w:rPr/>
      </w:pPr>
      <w:r>
        <w:rPr/>
        <w:t xml:space="preserve">As discussed previously, unbundling an asset can provide value to customers if the resulting stranded costs are spread over a larger customer base than the one which originally paid for the asset.  In less technical terms, such a value is called a subsidy.  The primary result of the allocation of stranded costs from core interstate capacity unbundling in the Comprehensive Settlement Agreement is to make core sales and noncore customers subsidize core transport customers by paying most of the stranded costs! </w:t>
      </w:r>
    </w:p>
    <w:p>
      <w:pPr>
        <w:pStyle w:val="Normal"/>
        <w:ind w:firstLine="720" w:end="0"/>
        <w:rPr/>
      </w:pPr>
      <w:r>
        <w:rPr/>
        <w:t>Before the end of 2001, the Comprehensive Settlement Agreement allocates up to $7 million of the stranded costs to noncore customers.  TURN does not oppose this provision, since core customers have contributed upwards of $150 million to the ITCS account, but does note that noncore customers receive no benefits from unbundling core interstate capacity.</w:t>
      </w:r>
    </w:p>
    <w:p>
      <w:pPr>
        <w:pStyle w:val="Normal"/>
        <w:ind w:firstLine="720" w:end="0"/>
        <w:rPr/>
      </w:pPr>
      <w:r>
        <w:rPr/>
        <w:t>Starting in 2002, the Comprehensive Settlement Agreement has a two-part allocation scheme.  (CSA §5.3.3.5.)  The main difference in the two components is the allocation of costs as between residential and non-residential customers.  The first 7% of stranded costs are allocated on an equal cents per therm to all core customers.  Stranded costs above 7% are allocated between core residential and core nonresidential in proportion to their participation rate in the CAT program.  As between core sales and core transport customers, the allocation is consistently on an equal cents per therm basis. The net effect is that residential customers pay the same rate for stranded costs whether they are core transport or core sales, and non-residential customers pay the same rate (which is higher than the residential rate) whether they are core transport or core sales customers.  (RT 1142-43, Nelson; Exh. 13, p. 4, Counihan.)  A core transport customer thus pays no more of the stranded costs than a core sales customer, even though the sales customer additionally continues to pay the full as-billed rate for the bundled interstate capacity.</w:t>
      </w:r>
    </w:p>
    <w:p>
      <w:pPr>
        <w:pStyle w:val="Normal"/>
        <w:ind w:firstLine="720" w:end="0"/>
        <w:rPr/>
      </w:pPr>
      <w:r>
        <w:rPr/>
        <w:t>As detailed by Mr. Florio in his rebuttal testimony, the resulting allocation is fundamentally unfair to the bundled core customer.  (Exh. 102, pp. 42-43.) The following table illustrates the resulting allocation of stranded costs after January 1, 2002:</w:t>
      </w:r>
      <w:r>
        <w:rPr>
          <w:rStyle w:val="FootnoteCharacters"/>
          <w:rStyle w:val="FootnoteReference"/>
        </w:rPr>
        <w:footnoteReference w:id="9"/>
      </w:r>
    </w:p>
    <w:p>
      <w:pPr>
        <w:pStyle w:val="Normal"/>
        <w:spacing w:lineRule="auto" w:line="240"/>
        <w:jc w:val="center"/>
        <w:rPr>
          <w:b/>
        </w:rPr>
      </w:pPr>
      <w:r>
        <w:rPr>
          <w:b/>
        </w:rPr>
        <w:t>Table 1:  Allocation of Stranded Costs within Core Class</w:t>
      </w:r>
    </w:p>
    <w:p>
      <w:pPr>
        <w:pStyle w:val="Normal"/>
        <w:spacing w:lineRule="auto" w:line="240"/>
        <w:ind w:firstLine="720" w:end="0"/>
        <w:rPr>
          <w:b/>
        </w:rPr>
      </w:pPr>
      <w:r>
        <w:rPr>
          <w:b/>
        </w:rPr>
      </w:r>
    </w:p>
    <w:tbl>
      <w:tblPr>
        <w:tblW w:w="8856" w:type="dxa"/>
        <w:jc w:val="start"/>
        <w:tblInd w:w="0" w:type="dxa"/>
        <w:tblLayout w:type="fixed"/>
        <w:tblCellMar>
          <w:top w:w="0" w:type="dxa"/>
          <w:start w:w="108" w:type="dxa"/>
          <w:bottom w:w="0" w:type="dxa"/>
          <w:end w:w="108" w:type="dxa"/>
        </w:tblCellMar>
      </w:tblPr>
      <w:tblGrid>
        <w:gridCol w:w="2952"/>
        <w:gridCol w:w="1476"/>
        <w:gridCol w:w="1476"/>
        <w:gridCol w:w="1476"/>
        <w:gridCol w:w="1476"/>
      </w:tblGrid>
      <w:tr>
        <w:trPr/>
        <w:tc>
          <w:tcPr>
            <w:tcW w:w="2952" w:type="dxa"/>
            <w:vMerge w:val="restart"/>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pPr>
            <w:r>
              <w:rPr/>
            </w:r>
          </w:p>
        </w:tc>
        <w:tc>
          <w:tcPr>
            <w:tcW w:w="2952"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Core Sales</w:t>
            </w:r>
          </w:p>
        </w:tc>
        <w:tc>
          <w:tcPr>
            <w:tcW w:w="2952" w:type="dxa"/>
            <w:gridSpan w:val="2"/>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Core Transport</w:t>
            </w:r>
          </w:p>
        </w:tc>
      </w:tr>
      <w:tr>
        <w:trPr/>
        <w:tc>
          <w:tcPr>
            <w:tcW w:w="2952" w:type="dxa"/>
            <w:vMerge w:val="continue"/>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pPr>
            <w:r>
              <w:rPr/>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PISA</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CSA</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PISA</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CSA</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Residential</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$500,000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$3,240,000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$500,000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$360,000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 xml:space="preserve">Non-residential </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$2,650,000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$2,430,000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$2,650,000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$270,000</w:t>
            </w:r>
          </w:p>
        </w:tc>
      </w:tr>
      <w:tr>
        <w:trPr/>
        <w:tc>
          <w:tcPr>
            <w:tcW w:w="2952"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TOTAL</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$3,150,000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$5,670,000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$3,150,000</w:t>
            </w:r>
          </w:p>
        </w:tc>
        <w:tc>
          <w:tcPr>
            <w:tcW w:w="1476"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$630,000</w:t>
            </w:r>
          </w:p>
        </w:tc>
      </w:tr>
    </w:tbl>
    <w:p>
      <w:pPr>
        <w:pStyle w:val="Normal"/>
        <w:ind w:firstLine="720" w:end="0"/>
        <w:rPr/>
      </w:pPr>
      <w:r>
        <w:rPr/>
      </w:r>
    </w:p>
    <w:p>
      <w:pPr>
        <w:pStyle w:val="Normal"/>
        <w:ind w:firstLine="720" w:end="0"/>
        <w:rPr/>
      </w:pPr>
      <w:r>
        <w:rPr/>
        <w:t>Under the Comprehensive Settlement Agreement the bundled retail core pays 90% of the stranded costs, or $5.7 million, while under the Post-Interim Settlement Agreement the retail core pays 50%, or $3.2 million. The Comprehensive Settlement Agreement shifts $2.5 million to retail core customers at a 10% penetration level. It is also apparent from the table that the main tradeoff is between retail residential versus core transport commercial and industrial customers. The larger commercial and industrial customers, and especially those with higher load factors, are the ones who take advantage of the CAT program and are sought out by core aggregators. There is little profit margin for core aggregators in serving residential customers, and only one of the over fifteen marketers in the SoCalGas territory has actively recruited residential customers.</w:t>
      </w:r>
    </w:p>
    <w:p>
      <w:pPr>
        <w:pStyle w:val="Normal"/>
        <w:ind w:firstLine="720" w:end="0"/>
        <w:rPr/>
      </w:pPr>
      <w:r>
        <w:rPr/>
        <w:t xml:space="preserve">TURN represents the interests of all core customers and attempts to balance conflicting interests.  It is for this reason that TURN supports a 50% subsidy to core transport customers. Such a benefit will stimulate the core aggregation program. The underlying philosophy is to allow and even encourage competition within the core market, but not to significantly subsidize competitors.  The Comprehensive Settlement Agreement, on the other hand, would shift substantial stranded interstate pipeline capacity costs to bundled core customers and noncore customers who neither participate in nor benefit from the core aggregation program. Such a degree of subsidy is unprecedented and unwarranted.  Encouraging competition should not mean subsidizing competitors, especially when those competitors are under no obligation to pass such subsidies along to their ultimate customers.  </w:t>
      </w:r>
    </w:p>
    <w:p>
      <w:pPr>
        <w:pStyle w:val="Normal"/>
        <w:ind w:firstLine="720" w:end="0"/>
        <w:rPr/>
      </w:pPr>
      <w:r>
        <w:rPr/>
        <w:t xml:space="preserve">It is essential to point out that shifting these stranded costs to bundled customers represents a subsidy to the CAT program that this Commission has not allowed with respect to the electric direct access program.  On the electric side, customers who leave bundled UDC service to take direct access do not receive any stranded cost subsidy from bundled service customers.  Stranded costs are unbundled from the rates of </w:t>
      </w:r>
      <w:r>
        <w:rPr>
          <w:u w:val="single"/>
        </w:rPr>
        <w:t>all</w:t>
      </w:r>
      <w:r>
        <w:rPr/>
        <w:t xml:space="preserve"> customers and then allocated on an equal basis to both bundled service and direct access users.  Thus, an electric customer cannot avoid any stranded cost liability by electing direct access.  In contrast, both settlements in this case leave the costs of stranded interstate capacity bundled in the rates paid by utility procurement customers, so that any allocation of the costs stranded by CAT customers back to the bundled core represents a cost shift.</w:t>
      </w:r>
    </w:p>
    <w:p>
      <w:pPr>
        <w:pStyle w:val="Normal"/>
        <w:ind w:firstLine="720" w:end="0"/>
        <w:rPr/>
      </w:pPr>
      <w:r>
        <w:rPr/>
        <w:t>Mr. Counihan attempts to justify the Comprehensive Settlement Agreement allocation by noting that it makes the core customer pay the same surcharge “without regard to the customer’s gas supply choice.”  (Exh. 13, p. 4.) But the point is precisely that the choice of a gas supplier affects the level of benefits a core customer obtains. A customer joining the CAT program does not have to pay the as-billed rate for interstate capacity and does not have to pay all the stranded costs. Indeed, the Comprehensive Settlement Agreement implicitly recognizes this fact, since during the period of a noncore contribution (prior to January 1, 2002) it allocates any portion in excess of the noncore cap only to CAT customers. (CSA §5.3.3.5, RT 1140, ll. 12-24, Nelson.)</w:t>
      </w:r>
    </w:p>
    <w:p>
      <w:pPr>
        <w:pStyle w:val="Normal"/>
        <w:ind w:firstLine="720" w:end="0"/>
        <w:rPr/>
      </w:pPr>
      <w:r>
        <w:rPr/>
        <w:t>There is no dispute that nonresidential customers are much more likely to take advantage of any benefits offered by the CAT program.  Nonresidential customers have consistently accounted for approximately 85% of the aggregator throughput in both the SoCalGas and PG&amp;E programs.  (Exhs. 112 and 113.)  Program participation thus seems a reasonable measure of benefits.  (RT 121, ll. 17-26, Florio/TURN.)  Apparently, supporters of the Comprehensive Settlement Agreement agree with this reasoning since their settlement provides for a similar allocation among residential and nonresidential core of costs above the first 7% of the stranded capacity costs. (CSA §5.3.3.5.)</w:t>
      </w:r>
    </w:p>
    <w:p>
      <w:pPr>
        <w:pStyle w:val="Heading1"/>
        <w:ind w:hanging="0" w:start="0"/>
        <w:rPr/>
      </w:pPr>
      <w:bookmarkStart w:id="11" w:name="__RefHeading___Toc487876560"/>
      <w:bookmarkEnd w:id="11"/>
      <w:r>
        <w:rPr/>
        <w:t>Transmission</w:t>
      </w:r>
    </w:p>
    <w:p>
      <w:pPr>
        <w:pStyle w:val="Normal"/>
        <w:rPr/>
      </w:pPr>
      <w:r>
        <w:rPr/>
      </w:r>
    </w:p>
    <w:p>
      <w:pPr>
        <w:pStyle w:val="Normal"/>
        <w:ind w:firstLine="720" w:end="0"/>
        <w:rPr/>
      </w:pPr>
      <w:r>
        <w:rPr/>
        <w:t>The Comprehensive Settlement Agreement unbundles intrastate backbone transmission, while the Post-Interim Settlement Agreement prohibits unbundling of intrastate transmission for the term of the settlement.  This is one of the major differences between the two competing visions of the future. The available evidence indicates there is little need for this drastic structural change which creates the risk of significant potential costs, particularly for low load factor customers. Core customers will face the risks of demand charges, loss of supply flexibility, higher citygate prices, an excess of interstate versus intrastate capacity, and the risk of stranded costs after 2006.</w:t>
      </w:r>
    </w:p>
    <w:p>
      <w:pPr>
        <w:pStyle w:val="Heading2"/>
        <w:ind w:hanging="0" w:start="0"/>
        <w:rPr/>
      </w:pPr>
      <w:bookmarkStart w:id="12" w:name="__RefHeading___Toc487876561"/>
      <w:bookmarkEnd w:id="12"/>
      <w:r>
        <w:rPr/>
        <w:t>There is no need for intrastate transmission unbundling</w:t>
      </w:r>
    </w:p>
    <w:p>
      <w:pPr>
        <w:pStyle w:val="Heading3"/>
        <w:ind w:hanging="0" w:start="0"/>
        <w:rPr/>
      </w:pPr>
      <w:bookmarkStart w:id="13" w:name="__RefHeading___Toc487876562"/>
      <w:bookmarkEnd w:id="13"/>
      <w:r>
        <w:rPr/>
        <w:t>The Post-Interim Settlement Agreement resolves the problems on the SoCalGas system identified in R.98-01-011</w:t>
      </w:r>
    </w:p>
    <w:p>
      <w:pPr>
        <w:pStyle w:val="Normal"/>
        <w:rPr/>
      </w:pPr>
      <w:r>
        <w:rPr/>
      </w:r>
    </w:p>
    <w:p>
      <w:pPr>
        <w:pStyle w:val="Normal"/>
        <w:ind w:firstLine="720" w:end="0"/>
        <w:rPr/>
      </w:pPr>
      <w:r>
        <w:rPr/>
        <w:t xml:space="preserve">In R.98-01-011 parties provided testimony and comments addressing the problems of capacity allocation on the SoCalGas system. It is fair to summarize that the focus of the customer dissatisfaction with SoCalGas was the uncertainty inherent in the windowing process. There was little support for major structural changes, except from certain marketers </w:t>
      </w:r>
    </w:p>
    <w:p>
      <w:pPr>
        <w:pStyle w:val="Normal"/>
        <w:ind w:firstLine="720" w:end="0"/>
        <w:rPr/>
      </w:pPr>
      <w:r>
        <w:rPr/>
        <w:t>In D.99-07-015, the Commission asked whether the possible benefits of a system of defined rights on the intrastate system outweigh the benefits of the current system in Southern California.  D.99-07-015, slip op. at 14. The Commission also cited several questions raised by SoCalGas with respect to this concept, which it identified as constructive and urged the parties to address, along with some further questions posed by the Commission itself. The costs to gas and, ultimately, even electric consumers associated with an unbundled system far outweigh any benefits.  There is no need to unbundle transmission rates and capacity rights in order to enhance the competition in southern California.  The benefits of defined receipt point capacity, pooling, liberalized imbalance trading, and a secondary market for storage rights can be offered within the current system proposed in the Post-Interim Settlement Agreement.  These customer-driven reforms were requested in the Phase 1 hearings.  These changes enhance competition and add value to service on the SoCalGas system while avoiding unnecessary increases in customer transaction costs.</w:t>
      </w:r>
    </w:p>
    <w:p>
      <w:pPr>
        <w:pStyle w:val="Normal"/>
        <w:ind w:firstLine="720" w:end="0"/>
        <w:rPr/>
      </w:pPr>
      <w:r>
        <w:rPr/>
        <w:t xml:space="preserve">In contrast, unbundling transmission capacity at this time will create more problems than it solves for SoCalGas’ customers.  Customers will be forced to absorb the costs required to rebundle services themselves, </w:t>
      </w:r>
      <w:r>
        <w:rPr>
          <w:i/>
        </w:rPr>
        <w:t>e.g</w:t>
      </w:r>
      <w:r>
        <w:rPr/>
        <w:t>., by adding personnel required to deal with the additional complexities, or customers will be forced to pay marketers a premium to rebundle services for them.  Furthermore, because unbundling capacity rights requires fixed commitments and inevitably results in demand charges, unbundling significantly increases costs for, particularly, low load factor customers such as core customers and electric generation customers.</w:t>
      </w:r>
    </w:p>
    <w:p>
      <w:pPr>
        <w:pStyle w:val="Normal"/>
        <w:ind w:firstLine="720" w:end="0"/>
        <w:rPr/>
      </w:pPr>
      <w:r>
        <w:rPr/>
        <w:t>Why do supporters of the Comprehensive Settlement Agreement so strongly advocate for unbundling of backbone transmission?  As summarized by Mr. Weil, most proponents cite the opportunities for marketers resulting from system flexibility. (Exh. 102, pp. 15-16, Weil.) Mr. Weil summarized the arguments for unbundling transmission, and the lack of apparent benefits of such unbundling on the SoCalGas system:</w:t>
      </w:r>
    </w:p>
    <w:p>
      <w:pPr>
        <w:pStyle w:val="Normal"/>
        <w:ind w:firstLine="720" w:end="0"/>
        <w:rPr/>
      </w:pPr>
      <w:r>
        <w:rPr/>
      </w:r>
    </w:p>
    <w:p>
      <w:pPr>
        <w:pStyle w:val="BodyTextIndent3"/>
        <w:rPr/>
      </w:pPr>
      <w:r>
        <w:rPr/>
        <w:t xml:space="preserve">Supporters of the CSA then conclude, as an article of faith, that opportunities for marketers will lead to customer savings.  I have not seen convincing evidence of that connection.… </w:t>
      </w:r>
    </w:p>
    <w:p>
      <w:pPr>
        <w:pStyle w:val="Normal"/>
        <w:spacing w:lineRule="auto" w:line="240"/>
        <w:ind w:start="720" w:end="0"/>
        <w:rPr/>
      </w:pPr>
      <w:r>
        <w:rPr/>
      </w:r>
    </w:p>
    <w:p>
      <w:pPr>
        <w:pStyle w:val="Normal"/>
        <w:spacing w:lineRule="auto" w:line="240"/>
        <w:ind w:start="720" w:end="0"/>
        <w:rPr/>
      </w:pPr>
      <w:r>
        <w:rPr/>
        <w:t>Overall customer benefits can result when two things happen.  First, unbundling might reduce or eliminate the costs of inefficient elements of utility operations, or customers might bypass unnecessary elements of bundled service.  Second, unbundling introduces transaction costs needed to reassemble gas service elements into packages that meet customer needs. … Overall benefits are achieved if the cost reductions overtake the transaction costs.</w:t>
      </w:r>
    </w:p>
    <w:p>
      <w:pPr>
        <w:pStyle w:val="Normal"/>
        <w:spacing w:lineRule="auto" w:line="240"/>
        <w:ind w:start="720" w:end="0"/>
        <w:rPr/>
      </w:pPr>
      <w:r>
        <w:rPr/>
      </w:r>
    </w:p>
    <w:p>
      <w:pPr>
        <w:pStyle w:val="Normal"/>
        <w:spacing w:lineRule="auto" w:line="240"/>
        <w:ind w:start="720" w:end="0"/>
        <w:rPr/>
      </w:pPr>
      <w:r>
        <w:rPr/>
        <w:t>I see not gross inefficiencies in SoCalGas operations that require unbundling and the threat of competition to enthuse the utility to improve system efficiency.  Nor do I see substantial prospects of small customers bypassing the costs of unwanted services. I consider residential customers to have low load factors and relatively homogeneous service needs. Much of SoCalGas’ current plant and ratemaking structure was built to meet those needs.</w:t>
      </w:r>
    </w:p>
    <w:p>
      <w:pPr>
        <w:pStyle w:val="Footer"/>
        <w:tabs>
          <w:tab w:val="clear" w:pos="4320"/>
          <w:tab w:val="clear" w:pos="8640"/>
        </w:tabs>
        <w:rPr/>
      </w:pPr>
      <w:r>
        <w:rPr/>
      </w:r>
    </w:p>
    <w:p>
      <w:pPr>
        <w:pStyle w:val="Normal"/>
        <w:rPr/>
      </w:pPr>
      <w:r>
        <w:rPr/>
        <w:t xml:space="preserve">(Exh. 102, p. 16.) </w:t>
      </w:r>
    </w:p>
    <w:p>
      <w:pPr>
        <w:pStyle w:val="BodyTextIndent3"/>
        <w:spacing w:lineRule="auto" w:line="480"/>
        <w:ind w:firstLine="720" w:start="0" w:end="0"/>
        <w:rPr/>
      </w:pPr>
      <w:r>
        <w:rPr/>
        <w:t>The fact that a “Gas Accord” structure is not necessary to solve the main problems related to capacity allocation on the SoCalGas system is best exemplified by the rebuttal testimony of Mr. Beach, who probably provided the most substantive response to TURN and SCGC’s direct testimony. Mr. Beach responds to the differences between PG&amp;E and SoCalGas by stating that:</w:t>
      </w:r>
    </w:p>
    <w:p>
      <w:pPr>
        <w:pStyle w:val="Normal"/>
        <w:spacing w:lineRule="auto" w:line="240"/>
        <w:ind w:firstLine="720" w:start="720" w:end="0"/>
        <w:rPr/>
      </w:pPr>
      <w:r>
        <w:rPr/>
      </w:r>
    </w:p>
    <w:p>
      <w:pPr>
        <w:pStyle w:val="BodyTextIndent3"/>
        <w:rPr/>
      </w:pPr>
      <w:r>
        <w:rPr/>
        <w:t>both PG&amp;E and SoCalGas have faced the same types of problems, even if the economic distortions on the PG&amp;E system have been greater.  On both systems, shippers have not had a system of firm capacity rights, allocated by non-discriminatory, open access procedures, to govern who had access to what receipt point. … Similarly, SoCalGas’ “windowing” procedures have not provided firm, non-discriminatory access at SoCalGas’ receipt points.  “Windowing” has restricted the access of competitive gas supplies to receipt points such as Wheeler Ridge, just as the “crossover ban” limited the competition to sell gas at Malin onto PG&amp;E’s Line 400.</w:t>
      </w:r>
    </w:p>
    <w:p>
      <w:pPr>
        <w:pStyle w:val="Normal"/>
        <w:spacing w:lineRule="auto" w:line="240"/>
        <w:ind w:start="720" w:end="0"/>
        <w:rPr/>
      </w:pPr>
      <w:r>
        <w:rPr/>
      </w:r>
    </w:p>
    <w:p>
      <w:pPr>
        <w:pStyle w:val="Normal"/>
        <w:spacing w:lineRule="auto" w:line="240"/>
        <w:ind w:start="720" w:end="0"/>
        <w:rPr/>
      </w:pPr>
      <w:r>
        <w:rPr/>
        <w:t>Furthermore, SoCalGas has also faced the same sort of “conflict of interest” charges as PG&amp;E. SoCalGas’ core procurement department has been criticized for monopolizing the Hector Road receipt point, to the beneift of SoCalGas’ shareholders through the Gas Cost Incentive Mechanism.</w:t>
      </w:r>
    </w:p>
    <w:p>
      <w:pPr>
        <w:pStyle w:val="Normal"/>
        <w:rPr/>
      </w:pPr>
      <w:r>
        <w:rPr/>
      </w:r>
    </w:p>
    <w:p>
      <w:pPr>
        <w:pStyle w:val="Normal"/>
        <w:ind w:firstLine="720" w:end="0"/>
        <w:rPr/>
      </w:pPr>
      <w:r>
        <w:rPr/>
        <w:t>(Exh. 18, p. 2.)  TURN agrees fully with this description of the problem.  Mr. Beach is reiterating the fundamental complaints in Phase One – the windowing process and Hector Road access.  But both these problems are resolved in the Post-Interim Settlement Agreement through its capacity allocation methods.  There is no need to go to a receipt point-based allocation system with a “postage stamp” open season which places capacity into the hands of marketers and shifts risk to customers.  What Mr. Beach ignores is the fundamental settlement dynamics.  The path-based capacity rights system developed for PG&amp;E benefited the utility and marketers, but customers received about $280 million in other settlement benefits in order to agree to these provisions.  No such corresponding benefits are present in the Comprehensive Settlement Agreement to make an unnecessary change palatable to customers.</w:t>
      </w:r>
    </w:p>
    <w:p>
      <w:pPr>
        <w:pStyle w:val="Heading3"/>
        <w:ind w:hanging="0" w:start="0"/>
        <w:rPr/>
      </w:pPr>
      <w:bookmarkStart w:id="14" w:name="__RefHeading___Toc487876563"/>
      <w:bookmarkEnd w:id="14"/>
      <w:r>
        <w:rPr/>
        <w:t>Imposing the “PG&amp;E model” for the sake of statewide consistency puts theory above reality</w:t>
      </w:r>
    </w:p>
    <w:p>
      <w:pPr>
        <w:pStyle w:val="Heading4"/>
        <w:ind w:hanging="0" w:start="0"/>
        <w:rPr/>
      </w:pPr>
      <w:bookmarkStart w:id="15" w:name="__RefHeading___Toc487876564"/>
      <w:bookmarkEnd w:id="15"/>
      <w:r>
        <w:rPr/>
        <w:t>The settlement dynamics and circumstances which produced the Gas Accord were uniquely different</w:t>
      </w:r>
    </w:p>
    <w:p>
      <w:pPr>
        <w:pStyle w:val="Normal"/>
        <w:rPr/>
      </w:pPr>
      <w:r>
        <w:rPr/>
      </w:r>
    </w:p>
    <w:p>
      <w:pPr>
        <w:pStyle w:val="BodyTextIndent"/>
        <w:rPr/>
      </w:pPr>
      <w:r>
        <w:rPr/>
        <w:t>The Gas Accord was designed to address some specific problems and circumstances on the PG&amp;E system that do not exist on the SoCalGas system.  These problems included conflicts between ratepayer and shareholder interests, large differentials in prices of natural gas from various sources, and a system that operated quite similarly in many respects to a pipeline system rather than a local distribution company (“LDC”) system. TURN witness Florio analyzed the structural and economic differences in his direct opening testimony. (Exh. 101, pp. 6-9.)  His analysis was largely unrebutted, except for the observations by Mr. Beach noted above. Mr. Beach also contended that the physical system differences were not so important.</w:t>
      </w:r>
    </w:p>
    <w:p>
      <w:pPr>
        <w:pStyle w:val="BodyTextIndent"/>
        <w:rPr/>
      </w:pPr>
      <w:r>
        <w:rPr/>
        <w:t xml:space="preserve">Irrespective of one’s evaluation of the operational differences between SoCalGas and PG&amp;E, it is undisputed that the regulatory issues and settlement dynamics leading up to the Gas Accord were significantly different from the issues in this proceeding.  The Gas Accord resolved several large and contentious reasonableness review issues regarding PG&amp;E’s original decision to construct the expansion project and its subscription capacity on the Transwestern Expansion, as well as issues regarding its discounting of Expansion rates and the resulting impact on capacity brokering revenues. As part of the settlement package, PG&amp;E agreed to absorb over $280 million in disputed utility costs. D.97-08-055, mimeo. p. 23. One can only infer that PG&amp;E was willing to give up such a large amount of money in return for other benefits.  Indeed, the unbundling of transmission capacity and the rate treatment adopted for Line 401 reduced shareholder risk. </w:t>
      </w:r>
      <w:r>
        <w:rPr>
          <w:i/>
        </w:rPr>
        <w:t>Id</w:t>
      </w:r>
      <w:r>
        <w:rPr/>
        <w:t>. at 22.</w:t>
      </w:r>
    </w:p>
    <w:p>
      <w:pPr>
        <w:pStyle w:val="BodyTextIndent"/>
        <w:rPr/>
      </w:pPr>
      <w:r>
        <w:rPr/>
        <w:t>In the same way, the unbundling of intrastate capacity reduces sharholder risk on the SoCalGas system.  However, there are no offsetting hundreds of millions of dollars to benefit ratepayers. In essence, the proponents of the Comprehensive Settlement Agreement would like us to adopt one half of the Gas Accord – the half that benefits only themselves.</w:t>
      </w:r>
    </w:p>
    <w:p>
      <w:pPr>
        <w:pStyle w:val="BodyTextIndent"/>
        <w:rPr/>
      </w:pPr>
      <w:r>
        <w:rPr/>
        <w:t>A number of the reforms proposed in the Post-Interim Settlement mirror the types of changes that were implemented for PG&amp;E as part of the Gas Accord.  These include, for example, the provisions for gas pooling on the SoCalGas system, removal of the core procurement department from the role of performing system balancing, liberalized imbalance trading rules, institution of an OFO system for dealing with serious system imbalances, partial unbundling of storage for CAT customers, the provision for tradeable storage rights and a secondary market, and the imposition of greater shareholder risk for underutilized assets.  Thus, the settlement parties have adopted elements of the Gas Accord where they make sense for the SoCalGas system, but have not proposed to apply the entire Gas Accord structure in a cookie-cutter fashion where those provisions do not provide a good fit or do not offer meaningful benefits to the customers who depend on the system to meet their energy needs.  The Commission should be similarly judicious in considering how the various elements of the Gas Accord might apply in the south.</w:t>
      </w:r>
    </w:p>
    <w:p>
      <w:pPr>
        <w:pStyle w:val="Heading4"/>
        <w:ind w:hanging="0" w:start="0"/>
        <w:rPr/>
      </w:pPr>
      <w:bookmarkStart w:id="16" w:name="__RefHeading___Toc487876565"/>
      <w:bookmarkEnd w:id="16"/>
      <w:r>
        <w:rPr/>
        <w:t>There is substantial evidence that the Gas Accord model has mostly benefited marketers</w:t>
      </w:r>
    </w:p>
    <w:p>
      <w:pPr>
        <w:pStyle w:val="Normal"/>
        <w:rPr/>
      </w:pPr>
      <w:r>
        <w:rPr/>
      </w:r>
    </w:p>
    <w:p>
      <w:pPr>
        <w:pStyle w:val="Normal"/>
        <w:ind w:firstLine="720" w:end="0"/>
        <w:rPr/>
      </w:pPr>
      <w:r>
        <w:rPr/>
        <w:t>One of the major factual elements of contention between the parties is issue of whether the PG&amp;E system of unbundled backbone transmission and path-based capacity rights has benefited end-use customers. Mr. Beach introduced evidence showing that average citygate prices between March of 1998 and April of 2000 have been lower than the combination of border gas price plus PG&amp;E’s interruptible transportation rate. (Exh. 5, pp. 4-5 and Figure 1.) Mr. Beach claims that these data indicate that any concern over market power or control of capacity by marketers is unjustified, because even if marketers control capacity they will provide competitive citygate prices.</w:t>
      </w:r>
    </w:p>
    <w:p>
      <w:pPr>
        <w:pStyle w:val="Normal"/>
        <w:ind w:firstLine="720" w:end="0"/>
        <w:rPr/>
      </w:pPr>
      <w:r>
        <w:rPr/>
        <w:t>Mr. Weil analyzed the same data and reached a different conclusion:</w:t>
      </w:r>
    </w:p>
    <w:p>
      <w:pPr>
        <w:pStyle w:val="Normal"/>
        <w:ind w:firstLine="720" w:end="0"/>
        <w:rPr/>
      </w:pPr>
      <w:r>
        <w:rPr/>
      </w:r>
    </w:p>
    <w:p>
      <w:pPr>
        <w:pStyle w:val="BodyTextIndent3"/>
        <w:rPr/>
      </w:pPr>
      <w:r>
        <w:rPr/>
        <w:t>The data show no average monthly benefits for city</w:t>
        <w:noBreakHyphen/>
        <w:t>gate pricing from March 1998 through January 1999, then winter month benefits in early 1999 and 1999</w:t>
        <w:noBreakHyphen/>
        <w:t>2000.  Even if average benefits of around 2 cents or more per MMcf/d do endure, the percentage cost savings is in the range of 1% or 2%.  It is very unlikely that core customers will purchase and rebundle separate services to gain savings of less than $1.00 per month, even on the PG&amp;E system.  I expect that Southern California city</w:t>
        <w:noBreakHyphen/>
        <w:t>gate differentials would be even smaller due to Southwest supply dominance.</w:t>
      </w:r>
    </w:p>
    <w:p>
      <w:pPr>
        <w:pStyle w:val="Normal"/>
        <w:ind w:firstLine="720" w:end="0"/>
        <w:rPr/>
      </w:pPr>
      <w:r>
        <w:rPr/>
      </w:r>
    </w:p>
    <w:p>
      <w:pPr>
        <w:pStyle w:val="Normal"/>
        <w:rPr/>
      </w:pPr>
      <w:r>
        <w:rPr/>
        <w:t>(Exh. 101, p. 11.)  Mr. Beach responded by reanalyzing the data for the period between May 1999 and April 1999 and showing that the average citygate price over that one-year period was still lower than the sum of commodity and transportation rate costs. (Exh. 18, p. 5.)</w:t>
      </w:r>
    </w:p>
    <w:p>
      <w:pPr>
        <w:pStyle w:val="Normal"/>
        <w:rPr/>
      </w:pPr>
      <w:r>
        <w:rPr/>
        <w:tab/>
        <w:t>The data in this highly interesting debate are inconclusive. It is true that average citygate prices were lower during the time periods examined by Mr. Beach; however, such an average was apparently caused by a rather anomalous price differential from December 1999 through March 2000. During most of the remaining period the citygate prices were higher than the combination of border prices and transportation rates. (Exh. 5, Figure 1.) It would be folly to rely on such a anomalous occurrence as the basis for predicting gas costs.</w:t>
      </w:r>
    </w:p>
    <w:p>
      <w:pPr>
        <w:pStyle w:val="Normal"/>
        <w:ind w:firstLine="720" w:end="0"/>
        <w:rPr/>
      </w:pPr>
      <w:r>
        <w:rPr/>
        <w:t>Indeed, it is interesting to note that in its current BCAP application, A. 00-04-002, PG&amp;E proposes to increase the Baja path capacity reservation for its core procurement department because:</w:t>
      </w:r>
    </w:p>
    <w:p>
      <w:pPr>
        <w:pStyle w:val="BodyTextIndent3"/>
        <w:rPr/>
      </w:pPr>
      <w:r>
        <w:rPr/>
        <w:t>Without additional firm Baja capacity, core customers would have to compete with other segments of the market such as electric generators and noncore customers for scarce and potentially high-priced citygate supplies.  In addition, core customers may need to rely on As-available Baja transportation, which is not likely to be available during extreme cold weather events.</w:t>
      </w:r>
    </w:p>
    <w:p>
      <w:pPr>
        <w:pStyle w:val="BodyTextIndent2"/>
        <w:spacing w:lineRule="auto" w:line="480"/>
        <w:rPr/>
      </w:pPr>
      <w:r>
        <w:rPr/>
      </w:r>
    </w:p>
    <w:p>
      <w:pPr>
        <w:pStyle w:val="Normal"/>
        <w:rPr/>
      </w:pPr>
      <w:r>
        <w:rPr/>
        <w:t>A.00-04-002, p. 4-3, June 6, 2000.</w:t>
      </w:r>
      <w:r>
        <w:rPr>
          <w:rStyle w:val="FootnoteCharacters"/>
          <w:rStyle w:val="FootnoteReference"/>
        </w:rPr>
        <w:footnoteReference w:id="10"/>
      </w:r>
      <w:r>
        <w:rPr/>
        <w:t xml:space="preserve">  Even the proponent of the Gas Accord recognizes that customers shouldn’t rely on buying gas at the citygate!</w:t>
      </w:r>
    </w:p>
    <w:p>
      <w:pPr>
        <w:pStyle w:val="Heading2"/>
        <w:ind w:hanging="0" w:start="0"/>
        <w:rPr/>
      </w:pPr>
      <w:bookmarkStart w:id="17" w:name="__RefHeading___Toc487876566"/>
      <w:bookmarkEnd w:id="17"/>
      <w:r>
        <w:rPr/>
        <w:t>the core will lose the system flexibility it currently enjoys</w:t>
      </w:r>
    </w:p>
    <w:p>
      <w:pPr>
        <w:pStyle w:val="Normal"/>
        <w:rPr/>
      </w:pPr>
      <w:r>
        <w:rPr/>
      </w:r>
    </w:p>
    <w:p>
      <w:pPr>
        <w:pStyle w:val="Normal"/>
        <w:ind w:firstLine="720" w:end="0"/>
        <w:rPr/>
      </w:pPr>
      <w:r>
        <w:rPr/>
        <w:t xml:space="preserve">The core enjoys great flexibility under the current system of transportation arrangements on SoCalGas.  The core has access to a very competitive market for gas at the border and in the various gas producing basins.  The core pays a margin contribution toward SoCalGas’ transmission revenue requirement based upon its cold year throughput, which in the most recent BCAP was projected at about 1022 MMcf/d.  D.00-04-060, slip op. at App. D, Table 11.  The core pays its allotted annual contribution to margin whether its actual usage is greater or lesser than the 1022 MMcf/d level because any variation is corrected through the functioning of the Core Fixed Cost Account (“CFCA”).  Therefore, if the core needs flowing supplies of up to 1,350 MMcf/d (or higher), it can obtain these gas supplies by nominating them for delivery into SoCalGas’ system.  The core will get firm delivery of its gas across SoCalGas’ system without paying any kind of premium or additional cost. </w:t>
      </w:r>
    </w:p>
    <w:p>
      <w:pPr>
        <w:pStyle w:val="Normal"/>
        <w:ind w:firstLine="720" w:end="0"/>
        <w:rPr/>
      </w:pPr>
      <w:r>
        <w:rPr/>
        <w:t xml:space="preserve">The core puts its transmission flexibility to great use during the wintertime.  For example, in 1999, the core needed in excess of 1000 MMcf/d in flowing gas supplies during nearly 130 days.  Of these days, eight required supplies in excess of 1300 MMcf/d, 21 days required supplies between 1200 and 1300 MMcf/d, 61 days required supplies between 1100 and 1200 MMcf/d, and another 39 days required supplies between 1000 and 1100 MMcf/d. (Exh. 109, p. 1 of 12, Yap.) The Post-Interim Settlement Agreement preserves this system flexibility for core customers. The Comprehensive Settlement Agreement destroys this flexibility in the name of creating firm receipt point capacity rights. </w:t>
      </w:r>
    </w:p>
    <w:p>
      <w:pPr>
        <w:pStyle w:val="Heading2"/>
        <w:ind w:hanging="0" w:start="0"/>
        <w:rPr/>
      </w:pPr>
      <w:bookmarkStart w:id="18" w:name="__RefHeading___Toc487876567"/>
      <w:r>
        <w:rPr/>
        <w:t>it is likely that the core will pay more for intrastate transmission under the Comprehensive Settlement Agreement</w:t>
      </w:r>
      <w:bookmarkEnd w:id="18"/>
      <w:r>
        <w:rPr/>
        <w:t xml:space="preserve"> </w:t>
      </w:r>
    </w:p>
    <w:p>
      <w:pPr>
        <w:pStyle w:val="Normal"/>
        <w:rPr/>
      </w:pPr>
      <w:r>
        <w:rPr/>
      </w:r>
    </w:p>
    <w:p>
      <w:pPr>
        <w:pStyle w:val="BodyTextIndent"/>
        <w:rPr/>
      </w:pPr>
      <w:r>
        <w:rPr/>
        <w:t>Under the Comprehensive Settlement Agreement the core will lose this flexibility to adjust flowing supplies to optimize gas purchases and will face the risks of demand charges and higher citygate prices. Instead, the Comprehensive Settlement Agreement reserves 1000 MMcf/d for the core at the postage stamp price distributed over three receipt points. For all this, and the 22 MMcf/d reduction in allocated transmission capacity, the core gets to pay $4.7 million more!  (See Section V.B.2 below on embedded cost allocation.)  TURN fails to see wherein lies the golden egg for core customers.</w:t>
      </w:r>
    </w:p>
    <w:p>
      <w:pPr>
        <w:pStyle w:val="Normal"/>
        <w:ind w:firstLine="720" w:end="0"/>
        <w:rPr/>
      </w:pPr>
      <w:r>
        <w:rPr/>
        <w:t>Supporters of the Comprehensive Settlement Agreement claim that retail core customers will benefit from reducing the core backbone reservation to 1000 MMcf/d. (Exh. 2, p. 12, Lorenz.) However, like other lower load factor customers, the core will have to purchase additional capacity in the open season and pay demand charges or buy a significant fraction of its peak flowing supplies from the secondary market or the citygate during peak months. In either case, the core could end up paying more, not less, than it does currently.</w:t>
      </w:r>
    </w:p>
    <w:p>
      <w:pPr>
        <w:pStyle w:val="Heading3"/>
        <w:ind w:hanging="0" w:start="0"/>
        <w:rPr/>
      </w:pPr>
      <w:bookmarkStart w:id="19" w:name="__RefHeading___Toc487876568"/>
      <w:bookmarkEnd w:id="19"/>
      <w:r>
        <w:rPr/>
        <w:t>Demand charges create a risk of higher transmission costs</w:t>
      </w:r>
    </w:p>
    <w:p>
      <w:pPr>
        <w:pStyle w:val="Normal"/>
        <w:rPr/>
      </w:pPr>
      <w:r>
        <w:rPr/>
      </w:r>
    </w:p>
    <w:p>
      <w:pPr>
        <w:pStyle w:val="Normal"/>
        <w:ind w:firstLine="720" w:end="0"/>
        <w:rPr/>
      </w:pPr>
      <w:r>
        <w:rPr/>
        <w:t xml:space="preserve">A demand charge rate structure would increase the cost of gas transmission service. If the core purchases additional capacity in the auction it will have to pay either a full SFV demand charge or a higher 50/50 demand/volumetric rate.  (Exh. 2, pp. 13-14, Lorenz; Exh. 4, p. 9, Pocta.)  Mr. Pocta and Mr. Lorenz both claim that customers will see future rate savings because SoCalGas is placed at risk after October 2001 for the recovery of its $73.7 million per year intrastate backbone transmission revenue requirement. (Exh. 2, p. 11, Lorenz; Exh. 4, p. 10, Pocta.) While the Comprehensive Settlement Agreement does eliminate balancing account coverage for “backbone” transmission costs, it does so by imposing onerous demand charges. </w:t>
      </w:r>
    </w:p>
    <w:p>
      <w:pPr>
        <w:pStyle w:val="Normal"/>
        <w:ind w:firstLine="720" w:end="0"/>
        <w:rPr/>
      </w:pPr>
      <w:r>
        <w:rPr/>
        <w:t xml:space="preserve">The demand charge rate structure presents a particularly serious problem for the low load factor customers.  A customer with a load factor of 65 percent could face an increase in transmission costs of about 54 percent under an SFV rate design or of about 34 percent under the 50/50 demand/volumetric rate design, if it were to subscribe to capacity for its full requirements.  A customer with a lower load factors, such as 30 percent, could face a tripling of costs under the SFV rate design or a doubling under the 50/50 demand/volumetric rate design. (Exh. 105, Yap; Exh. 109, p. 1/1, Yap.) </w:t>
      </w:r>
    </w:p>
    <w:p>
      <w:pPr>
        <w:pStyle w:val="Normal"/>
        <w:ind w:firstLine="720" w:end="0"/>
        <w:rPr/>
      </w:pPr>
      <w:r>
        <w:rPr/>
        <w:t>For example, during 1999, the core relied upon as much as 1350 MMcf/d in flowing supplies, in addition to its withdrawals from storage, in meeting its requirements.  If it reserved this full 1350 MMcf/d of capacity under the CSA, the core’s average rate would be much higher because the core has a relatively low load factor.  The core’s load factor for 1999 was about 44 percent, of which a portion was met by storage.  When the load factor is adjusted to remove the effect of storage, the core’s load factor is still only 65 percent.  Therefore, the core’s average rate would be about $0.111 per dth under an SFV rate options, or about $0.096 per dth under the 50/50 demand/volumetric rate option.  (Exh. 109, p. 1/1, Yap.) Thus, the core’s average rate would be 34 to 54 percent higher than SoCalGas’ quoted rate of $0.072</w:t>
      </w:r>
      <w:r>
        <w:rPr>
          <w:color w:val="0000FF"/>
        </w:rPr>
        <w:t>.</w:t>
      </w:r>
    </w:p>
    <w:p>
      <w:pPr>
        <w:pStyle w:val="Heading3"/>
        <w:ind w:hanging="0" w:start="0"/>
        <w:rPr/>
      </w:pPr>
      <w:bookmarkStart w:id="20" w:name="__RefHeading___Toc487876569"/>
      <w:bookmarkEnd w:id="20"/>
      <w:r>
        <w:rPr/>
        <w:t>Secondary market or citygate purchases may be more expensive</w:t>
      </w:r>
    </w:p>
    <w:p>
      <w:pPr>
        <w:pStyle w:val="Normal"/>
        <w:rPr/>
      </w:pPr>
      <w:r>
        <w:rPr/>
      </w:r>
    </w:p>
    <w:p>
      <w:pPr>
        <w:pStyle w:val="Normal"/>
        <w:ind w:firstLine="720" w:end="0"/>
        <w:rPr/>
      </w:pPr>
      <w:r>
        <w:rPr/>
        <w:t>Under the CSA approach (and using 1999 operating data as an illustration), the core would face about 130 days out of the year where they needed to purchase as much as 350 MMcf/d in flowing supplies on an as-available basis at the citygate from marketers or buy transmission capacity from the secondary markets.  Given that the core’s loads are driven primarily by heating requirements, it would need to purchase these additional supplies during the expensive high-demand periods.  It is precisely during such high demand periods that the FERC observed marketers charging a premium for gas supplies bundled with transportation.  Order 637, RM98-10-00, Feb 25, 2000, slip op. at 58.</w:t>
      </w:r>
    </w:p>
    <w:p>
      <w:pPr>
        <w:pStyle w:val="Normal"/>
        <w:ind w:firstLine="720" w:end="0"/>
        <w:rPr/>
      </w:pPr>
      <w:r>
        <w:rPr/>
        <w:t>While the core arguably could draw some gas supplies from its storage inventories to meet its needs instead of paying marketers for very expensive flowing supplies, every amount that it draws from inventory during the winter brings it closer to its minimum inventory levels.  Furthermore, one cannot tell if the winter period will bring more cold weather with perhaps even more expensive gas supplies.  In any case, the core cannot afford to drop below minimum inventories if it is to guarantee very high withdrawal rates as protection against extremely cold weather, which could potentially happen at any time during the cold winter months.  Additionally, under the CSA, the core’s storage inventory capacity will be reduced by more than 20 percent from 70 Bcf to 55 Bcf.  Therefore, it will not stretch as far beyond the minimum inventory levels.</w:t>
      </w:r>
    </w:p>
    <w:p>
      <w:pPr>
        <w:pStyle w:val="Normal"/>
        <w:ind w:firstLine="720" w:end="0"/>
        <w:rPr/>
      </w:pPr>
      <w:r>
        <w:rPr/>
        <w:t>Purchasing transmission capacity in the secondary market is likely to result in a cost increase.  The core would have to purchase either brokered firm capacity on the secondary market with no cost cap, or SoCalGas’ interruptible capacity capped at 120% of the postage stamp rate. Brokered firm capacity is a more realistic alternative for use during peak winter times.  A conservative low estimate of additional capacity costs to retail core can be calculated using the data presented earlier for core flowing supply volumes in 1999 (in Subsection B above). The following table shows that the resulting additional annual cost of capacity for the retail core would be about $1.6 million:</w:t>
      </w:r>
      <w:r>
        <w:rPr>
          <w:rStyle w:val="FootnoteCharacters"/>
          <w:rStyle w:val="FootnoteReference"/>
          <w:sz w:val="20"/>
        </w:rPr>
        <w:footnoteReference w:id="11"/>
      </w:r>
      <w:r>
        <w:rPr/>
        <w:t xml:space="preserve"> </w:t>
      </w:r>
    </w:p>
    <w:p>
      <w:pPr>
        <w:pStyle w:val="Normal"/>
        <w:ind w:firstLine="720" w:end="0"/>
        <w:rPr/>
      </w:pPr>
      <w:r>
        <w:rPr/>
      </w:r>
    </w:p>
    <w:p>
      <w:pPr>
        <w:pStyle w:val="Normal"/>
        <w:ind w:firstLine="720" w:end="0"/>
        <w:rPr/>
      </w:pPr>
      <w:r>
        <w:rPr/>
        <w:t>Table 2:  Cost of Capacity Purchases on Secondary Market</w:t>
      </w:r>
    </w:p>
    <w:tbl>
      <w:tblPr>
        <w:tblW w:w="8010" w:type="dxa"/>
        <w:jc w:val="start"/>
        <w:tblInd w:w="198" w:type="dxa"/>
        <w:tblLayout w:type="fixed"/>
        <w:tblCellMar>
          <w:top w:w="0" w:type="dxa"/>
          <w:start w:w="108" w:type="dxa"/>
          <w:bottom w:w="0" w:type="dxa"/>
          <w:end w:w="108" w:type="dxa"/>
        </w:tblCellMar>
      </w:tblPr>
      <w:tblGrid>
        <w:gridCol w:w="2016"/>
        <w:gridCol w:w="1944"/>
        <w:gridCol w:w="2340"/>
        <w:gridCol w:w="1710"/>
      </w:tblGrid>
      <w:tr>
        <w:trPr/>
        <w:tc>
          <w:tcPr>
            <w:tcW w:w="2016" w:type="dxa"/>
            <w:tcBorders>
              <w:top w:val="single" w:sz="4" w:space="0" w:color="000000"/>
              <w:start w:val="single" w:sz="4" w:space="0" w:color="000000"/>
              <w:bottom w:val="single" w:sz="4" w:space="0" w:color="000000"/>
              <w:end w:val="single" w:sz="4" w:space="0" w:color="000000"/>
            </w:tcBorders>
          </w:tcPr>
          <w:p>
            <w:pPr>
              <w:pStyle w:val="Normal"/>
              <w:spacing w:lineRule="auto" w:line="240"/>
              <w:rPr>
                <w:sz w:val="20"/>
              </w:rPr>
            </w:pPr>
            <w:r>
              <w:rPr>
                <w:sz w:val="20"/>
              </w:rPr>
              <w:t>1999 Usage Level (MMcf/d)</w:t>
            </w:r>
          </w:p>
        </w:tc>
        <w:tc>
          <w:tcPr>
            <w:tcW w:w="1944" w:type="dxa"/>
            <w:tcBorders>
              <w:top w:val="single" w:sz="4" w:space="0" w:color="000000"/>
              <w:start w:val="single" w:sz="4" w:space="0" w:color="000000"/>
              <w:bottom w:val="single" w:sz="4" w:space="0" w:color="000000"/>
              <w:end w:val="single" w:sz="4" w:space="0" w:color="000000"/>
            </w:tcBorders>
          </w:tcPr>
          <w:p>
            <w:pPr>
              <w:pStyle w:val="FootnoteText"/>
              <w:rPr/>
            </w:pPr>
            <w:r>
              <w:rPr/>
              <w:t>Amount Purchased (assume midpoint)</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240"/>
              <w:rPr>
                <w:sz w:val="20"/>
              </w:rPr>
            </w:pPr>
            <w:r>
              <w:rPr>
                <w:sz w:val="20"/>
              </w:rPr>
              <w:t>Number of Days Needed (1999 data)</w:t>
            </w:r>
          </w:p>
        </w:tc>
        <w:tc>
          <w:tcPr>
            <w:tcW w:w="1710"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spacing w:lineRule="auto" w:line="240"/>
              <w:rPr>
                <w:sz w:val="20"/>
              </w:rPr>
            </w:pPr>
            <w:r>
              <w:rPr>
                <w:sz w:val="20"/>
              </w:rPr>
              <w:t>Cost to Gas Acquisition</w:t>
            </w:r>
          </w:p>
        </w:tc>
      </w:tr>
      <w:tr>
        <w:trPr/>
        <w:tc>
          <w:tcPr>
            <w:tcW w:w="2016"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&gt;1300</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300</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8</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$210,410</w:t>
            </w:r>
          </w:p>
        </w:tc>
      </w:tr>
      <w:tr>
        <w:trPr/>
        <w:tc>
          <w:tcPr>
            <w:tcW w:w="2016"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1200-1300</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250</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21</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$460,270</w:t>
            </w:r>
          </w:p>
        </w:tc>
      </w:tr>
      <w:tr>
        <w:trPr/>
        <w:tc>
          <w:tcPr>
            <w:tcW w:w="2016"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spacing w:lineRule="auto" w:line="240"/>
              <w:rPr/>
            </w:pPr>
            <w:r>
              <w:rPr/>
              <w:t>1100-1200</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150</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61</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$809,186</w:t>
            </w:r>
          </w:p>
        </w:tc>
      </w:tr>
      <w:tr>
        <w:trPr/>
        <w:tc>
          <w:tcPr>
            <w:tcW w:w="2016"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1000-1100</w:t>
            </w:r>
          </w:p>
        </w:tc>
        <w:tc>
          <w:tcPr>
            <w:tcW w:w="1944"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50</w:t>
            </w:r>
          </w:p>
        </w:tc>
        <w:tc>
          <w:tcPr>
            <w:tcW w:w="2340" w:type="dxa"/>
            <w:tcBorders>
              <w:top w:val="single" w:sz="4" w:space="0" w:color="000000"/>
              <w:start w:val="single" w:sz="4" w:space="0" w:color="000000"/>
              <w:bottom w:val="single" w:sz="4" w:space="0" w:color="000000"/>
              <w:end w:val="single" w:sz="4" w:space="0" w:color="000000"/>
            </w:tcBorders>
          </w:tcPr>
          <w:p>
            <w:pPr>
              <w:pStyle w:val="Normal"/>
              <w:spacing w:lineRule="auto" w:line="240"/>
              <w:jc w:val="center"/>
              <w:rPr/>
            </w:pPr>
            <w:r>
              <w:rPr/>
              <w:t>39</w:t>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pPr>
            <w:r>
              <w:rPr/>
              <w:t>$170,958</w:t>
            </w:r>
          </w:p>
        </w:tc>
      </w:tr>
      <w:tr>
        <w:trPr/>
        <w:tc>
          <w:tcPr>
            <w:tcW w:w="2016" w:type="dxa"/>
            <w:tcBorders>
              <w:top w:val="single" w:sz="4" w:space="0" w:color="000000"/>
              <w:start w:val="single" w:sz="4" w:space="0" w:color="000000"/>
              <w:bottom w:val="single" w:sz="4" w:space="0" w:color="000000"/>
              <w:end w:val="single" w:sz="4" w:space="0" w:color="000000"/>
            </w:tcBorders>
          </w:tcPr>
          <w:p>
            <w:pPr>
              <w:pStyle w:val="Normal"/>
              <w:spacing w:lineRule="auto" w:line="240"/>
              <w:rPr>
                <w:b/>
              </w:rPr>
            </w:pPr>
            <w:r>
              <w:rPr>
                <w:b/>
              </w:rPr>
              <w:t>TOTAL</w:t>
            </w:r>
          </w:p>
        </w:tc>
        <w:tc>
          <w:tcPr>
            <w:tcW w:w="1944"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b/>
              </w:rPr>
            </w:pPr>
            <w:r>
              <w:rPr>
                <w:b/>
              </w:rPr>
            </w:r>
          </w:p>
        </w:tc>
        <w:tc>
          <w:tcPr>
            <w:tcW w:w="234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b/>
              </w:rPr>
            </w:pPr>
            <w:r>
              <w:rPr>
                <w:b/>
              </w:rPr>
            </w:r>
          </w:p>
        </w:tc>
        <w:tc>
          <w:tcPr>
            <w:tcW w:w="1710" w:type="dxa"/>
            <w:tcBorders>
              <w:top w:val="single" w:sz="4" w:space="0" w:color="000000"/>
              <w:start w:val="single" w:sz="4" w:space="0" w:color="000000"/>
              <w:bottom w:val="single" w:sz="4" w:space="0" w:color="000000"/>
              <w:end w:val="single" w:sz="4" w:space="0" w:color="000000"/>
            </w:tcBorders>
          </w:tcPr>
          <w:p>
            <w:pPr>
              <w:pStyle w:val="Normal"/>
              <w:spacing w:lineRule="auto" w:line="240"/>
              <w:jc w:val="end"/>
              <w:rPr>
                <w:b/>
              </w:rPr>
            </w:pPr>
            <w:r>
              <w:rPr>
                <w:b/>
              </w:rPr>
              <w:t>$1,643,824</w:t>
            </w:r>
          </w:p>
        </w:tc>
      </w:tr>
    </w:tbl>
    <w:p>
      <w:pPr>
        <w:pStyle w:val="Normal"/>
        <w:ind w:firstLine="720" w:end="0"/>
        <w:rPr/>
      </w:pPr>
      <w:r>
        <w:rPr/>
      </w:r>
    </w:p>
    <w:p>
      <w:pPr>
        <w:pStyle w:val="Normal"/>
        <w:ind w:firstLine="720" w:end="0"/>
        <w:rPr/>
      </w:pPr>
      <w:r>
        <w:rPr/>
        <w:t>The potential cost or benefit to customers from the proposed citygate market was one of the fundamental areas of disagreement during hearings in this proceeding. As discussed in Subsection III.A.2 above, the evidence presented by Mr. Beach is inconclusive.</w:t>
      </w:r>
    </w:p>
    <w:p>
      <w:pPr>
        <w:pStyle w:val="Normal"/>
        <w:ind w:firstLine="720" w:end="0"/>
        <w:rPr/>
      </w:pPr>
      <w:r>
        <w:rPr/>
        <w:t>The position of the marketers who provided testimony on this issue is that 1) there will be a competitive citygate market, 2) customers will of course benefit by lower prices, and 3) the PG&amp;E experience demonstrates the benefit of lower prices. The position of the Post-Interim Settlement Agreement supporters is that 1) there is no guarantee of a competitive market, 2) there is significant potential for market power abuse, and 3) the PG&amp;E experience is either inconclusive or demonstrates the lack of customer benefits. While much of this debate was full of rhetorical assumption about market versus regulatory controls, TURN believes that the weight of the evidence in this convoluted debate lies on the side of the customers and the Post-Interim Settlement Agreement.</w:t>
      </w:r>
    </w:p>
    <w:p>
      <w:pPr>
        <w:pStyle w:val="Normal"/>
        <w:ind w:firstLine="720" w:end="0"/>
        <w:rPr/>
      </w:pPr>
      <w:r>
        <w:rPr/>
        <w:t>Mr. Weil analyzed the ownership of firm capacity on the Redwood Path and found that only 107 MMcf/d out of a total of 1803 MMcf/d is held by 26 end users who do not also hold firm capacity that do not also hold firm capacity upstream of Malin. (Exh. 101, pp. 12-13, Weil.) The data show that marketers and PG&amp;E’s core procurement department dominate the capacity market, and Mr. Weil concluded that “high transaction costs hinder customer enthusiasm for assembling service packages from unbundled services that are available in Northern California.” (Exh. 101, p. 13, ll. 6-7.) The sharp increase in transaction costs discourages even good-sized customers from obtaining their own capacity.  Therefore, the secondary markets are likely to be thinly traded and potentially controlled by marketers with complex agendas.  Marketers will certainly not have an incentive to buy secondary capacity from the same customers that they would rather sell gas to.</w:t>
      </w:r>
    </w:p>
    <w:p>
      <w:pPr>
        <w:pStyle w:val="Normal"/>
        <w:ind w:firstLine="720" w:end="0"/>
        <w:rPr/>
      </w:pPr>
      <w:r>
        <w:rPr/>
        <w:t>Moreover, there is already a well-functioning market for natural gas at the SoCalGas border citygate. Ms. Yap demonstrated that the citygate gas prices from different producing regions show very little weekly variation. (Exh. 101, p. 13-14.) Moving that market from the border to the citygate will not increase the competitiveness of that market but may instead reduce its efficiencies by eliminating slack capacity and increasing the potential for market power abuse.  (Exh. 101, p.14, Yap; Exh. 102, pp. 17-18, Weil and Yap.)</w:t>
      </w:r>
    </w:p>
    <w:p>
      <w:pPr>
        <w:pStyle w:val="Heading2"/>
        <w:ind w:hanging="0" w:start="0"/>
        <w:rPr/>
      </w:pPr>
      <w:bookmarkStart w:id="21" w:name="__RefHeading___Toc487876570"/>
      <w:bookmarkEnd w:id="21"/>
      <w:r>
        <w:rPr/>
        <w:t>The mismatch between reserved core interstate and intrastate transmission capacity results in stranded core assets</w:t>
      </w:r>
    </w:p>
    <w:p>
      <w:pPr>
        <w:pStyle w:val="Normal"/>
        <w:rPr/>
      </w:pPr>
      <w:r>
        <w:rPr/>
      </w:r>
    </w:p>
    <w:p>
      <w:pPr>
        <w:pStyle w:val="BodyTextIndent"/>
        <w:rPr/>
      </w:pPr>
      <w:r>
        <w:rPr/>
        <w:t>The Comprehensive Settlement Agreement reserves 1044 MMcf/d of interstate pipeline capacity for the Gas Acquisition Department but only 1000 MMcf/d of intrastate pipeline capacity. Of this 1000 MMcf/d, 70 is  reserved on the North Coastal line for California production, so that only 930 MMcf/d is reserved at the three border receipt points of North Needles, Topock and Blythe.  (Exh. 1, p. 12, §1.1.3.5.1; RT 423, Pocta/ORA.)  As a result, the Comprehensive Settlement Agreement strands 114 MMcf/d (10 at Topock and 104 at Blythe) of the core’s interstate pipeline capacity. The settlement justifies this mismatch by assuming that there would be a 10% CAT penetration and the core aggregators would reject their entire share of the interstate capacity.</w:t>
      </w:r>
    </w:p>
    <w:p>
      <w:pPr>
        <w:pStyle w:val="Normal"/>
        <w:ind w:firstLine="720" w:end="0"/>
        <w:rPr/>
      </w:pPr>
      <w:r>
        <w:rPr/>
        <w:t>In contrast, the rights of core aggregators and wholesale customers to have matching interstate and intrastate transmission reservations are not impaired by the Comprehensive Settlement Agreement. CTAs are given the option prior to the commencement of the open season on October 1, 2001 and each year thereafter for the term of the Settlement to reserve "backbone" rights at North Needles, Topock and Blythe, in proportion to "the then-existing interstate capacity rights reserved for SoCalGas' Gas Acquisition Department ...."  (CSA § 1.1.3.5.2, Exh.1, at 13.)  Likewise, wholesale customers other than SDG&amp;E are given the option to take a pre-open season reservation of "backbone" rights each year at North Needles, Topock and Blythe, in proportion to the "then-existing interstate capacity rights reserved for SoCalGas' Gas Acquisition Department .…" (CSA § 1.1.3.5.4.2, Exh.1, at 14.)</w:t>
      </w:r>
    </w:p>
    <w:p>
      <w:pPr>
        <w:pStyle w:val="Normal"/>
        <w:ind w:firstLine="720" w:end="0"/>
        <w:rPr/>
      </w:pPr>
      <w:r>
        <w:rPr/>
        <w:t>However, if CAT penetration remains at or below 5%, the Gas Acquisition department will continue paying for 114 MMcf/d of interstate pipeline capacity which it cannot utilize without purchasing additional intrastate transmission capacity. ORA Witness Pocta testified that it was preferable to purchase any needed capacity at the citygate than have to broker excess intrastate capacity. (RT 423, ll. 1-14.) Mr. Pocta’s conclusion is premised on the assumed 10% CAT penetration and the fact that core would be competing if it had to broker excess intrastate capacity.  However, if that assumption is wrong (and the discussion in Section II.B strongly suggest CAT penetration will remain closer to 5%), then core will either need to purchase the intrastate capacity or broker interstate capacity in an already depressed market.  At the maximum interruptible rate (120% of the 7.2 cent/dth postage stamp rate), daily purchases of 114 MMcf/d of intrastate capacity would amount to an annual cost of $3,590,610.  Assuming the core needed the entire flowing capacity only during the winter season, the cost would be approximately $1.8 million.</w:t>
      </w:r>
    </w:p>
    <w:p>
      <w:pPr>
        <w:pStyle w:val="Normal"/>
        <w:ind w:firstLine="720" w:end="0"/>
        <w:rPr/>
      </w:pPr>
      <w:r>
        <w:rPr/>
        <w:t>On the other hand, at times when the core does not need its entire interstate reservation of 1044 MMcf/d, it will be forced to broker the excess interstate capacity and pay for resulting stranded costs.  The Comprehensive Settlement Agreement preserves the entire 1044 MMcf/d of core interstate capacity reservation through 2006 in order to preclude any additional stranded costs to be borne by noncore customers.  (RT 423, l. 24 – 424, l.3, Pocta/ORA.) At the same time, the creation of a backbone bottleneck on the SoCalGas system will likely devalue interstate pipeline capacity.  Under the Comprehensive Settlement, the holders of "backbone" capacity rights will determine who has the right to move gas into the SoCalGas system.  They will be the "gatekeepers" of the receipt points.  If other parties have interstate pipeline capacity leading to SoCalGas, gas transported through their capacity will not be able to move into the SoCalGas system unless there is a holder of "backbone" receipt rights willing to take the gas.  The value of owning interstate pipeline rights to the California receipt rights would be diminished.</w:t>
      </w:r>
    </w:p>
    <w:p>
      <w:pPr>
        <w:pStyle w:val="Normal"/>
        <w:ind w:firstLine="720" w:end="0"/>
        <w:rPr/>
      </w:pPr>
      <w:r>
        <w:rPr>
          <w:rFonts w:eastAsia="Arial"/>
        </w:rPr>
        <w:t xml:space="preserve"> </w:t>
      </w:r>
      <w:r>
        <w:rPr/>
        <w:t>The Post-Interim Settlement Agreement maintains the same core allocation of interstate capacity through the term of the BCAP, but does not address the issue in the post-BCAP period.</w:t>
      </w:r>
    </w:p>
    <w:p>
      <w:pPr>
        <w:pStyle w:val="Heading2"/>
        <w:ind w:hanging="0" w:start="0"/>
        <w:rPr/>
      </w:pPr>
      <w:bookmarkStart w:id="22" w:name="__RefHeading___Toc487876571"/>
      <w:bookmarkEnd w:id="22"/>
      <w:r>
        <w:rPr/>
        <w:t>the core faces the risk of future stranded costs</w:t>
      </w:r>
    </w:p>
    <w:p>
      <w:pPr>
        <w:pStyle w:val="Normal"/>
        <w:ind w:firstLine="720" w:end="0"/>
        <w:rPr/>
      </w:pPr>
      <w:r>
        <w:rPr/>
      </w:r>
    </w:p>
    <w:p>
      <w:pPr>
        <w:pStyle w:val="Normal"/>
        <w:ind w:firstLine="720" w:end="0"/>
        <w:rPr/>
      </w:pPr>
      <w:r>
        <w:rPr/>
        <w:t>Historically, deregulation of the gas industry has posed two risks for core customers.  The first risk is that bypass of utility service would shift fixed costs onto captive core customers, or that cost would be shifted to allow for discounts for noncore customers in order to prevent bypass. The second risk is that unbundling and competitive provision of services would create stranded costs. The Comprehensive Settlement Agreement creates that possibility of both risks for core customers.</w:t>
      </w:r>
    </w:p>
    <w:p>
      <w:pPr>
        <w:pStyle w:val="Heading3"/>
        <w:ind w:hanging="0" w:start="0"/>
        <w:rPr/>
      </w:pPr>
      <w:bookmarkStart w:id="23" w:name="__RefHeading___Toc487876572"/>
      <w:bookmarkEnd w:id="23"/>
      <w:r>
        <w:rPr/>
        <w:t>Bypass of local transmission and distribution costs would shift fixed costs to captive ratepayers</w:t>
      </w:r>
    </w:p>
    <w:p>
      <w:pPr>
        <w:pStyle w:val="Normal"/>
        <w:rPr/>
      </w:pPr>
      <w:r>
        <w:rPr/>
      </w:r>
    </w:p>
    <w:p>
      <w:pPr>
        <w:pStyle w:val="Normal"/>
        <w:ind w:firstLine="720" w:end="0"/>
        <w:rPr/>
      </w:pPr>
      <w:r>
        <w:rPr/>
        <w:t>The Comprehensive Settlement Agreement separates the SoCalGas transmission system into backbone and local components. SoCalGas calculates the value of the capital-related costs of the backbone system to be $42,711,000 and of the local system to be $25,084,000. After accounting for O&amp;M, A&amp;G, other costs and a negotiated cost shift, the final costs associated with the backbone and local transmission systems come out to be $73,738,000 and $64,262,000, respectively. (Exh. 2, Attachment 3.)</w:t>
      </w:r>
    </w:p>
    <w:p>
      <w:pPr>
        <w:pStyle w:val="BodyTextIndent"/>
        <w:rPr/>
      </w:pPr>
      <w:r>
        <w:rPr/>
        <w:t xml:space="preserve">The Comprehensive Settlement Agreement explicitly declines to address the question of whether customers who connect to the backbone system could bypass the costs of local transmission or distribution. (Exh. 1, §1.1.3.10, p. 19.) Clearly, however, the Comprehensive Settlement Agreement creates a system which raises this very issue. (RT 238, ll. 12-24, Florio.) Since no separation of the transmission system is required in the Post-Interim Settlement Agreement and transmission unbundling is prohibited, the Post-Interim Settlement Agreement does not create a possibility of bypassing costs. </w:t>
      </w:r>
    </w:p>
    <w:p>
      <w:pPr>
        <w:pStyle w:val="Normal"/>
        <w:rPr/>
      </w:pPr>
      <w:r>
        <w:rPr/>
        <w:tab/>
        <w:t xml:space="preserve">It is highly likely, if not axiomatic, that requests for bypassing local T&amp;D charges will be made to the Commission instantly if the Comprehensive Settlement Agreement is adopted. Such requests will pose difficult cost allocation questions regarding cost-causation versus rate stability and equity. If cost bypass is allowed, the result is to shift more of the system fixed costs onto remaining customers. And core customers pay a greater share of the local T&amp;D costs, especially since backbone costs are unbundled. TURN has always supported the regulatory policy that all customers should pay for common-use facilities, and only exclusive-use facilities should be allocated differently. By opening this Pandora’s box without a specific prohibition against cost bypass, the Comprehensive Settlement Agreement invites cost shifting onto smaller customers. </w:t>
      </w:r>
    </w:p>
    <w:p>
      <w:pPr>
        <w:pStyle w:val="Heading3"/>
        <w:ind w:hanging="0" w:start="0"/>
        <w:rPr/>
      </w:pPr>
      <w:bookmarkStart w:id="24" w:name="__RefHeading___Toc487876573"/>
      <w:bookmarkEnd w:id="24"/>
      <w:r>
        <w:rPr/>
        <w:t>Unbundling transmission and storage creates the risk of future stranded costs</w:t>
      </w:r>
    </w:p>
    <w:p>
      <w:pPr>
        <w:pStyle w:val="Normal"/>
        <w:rPr/>
      </w:pPr>
      <w:r>
        <w:rPr/>
      </w:r>
    </w:p>
    <w:p>
      <w:pPr>
        <w:pStyle w:val="Normal"/>
        <w:ind w:firstLine="720" w:end="0"/>
        <w:rPr/>
      </w:pPr>
      <w:r>
        <w:rPr/>
        <w:t>The Comprehensive Settlement Agreement places SoCalGas fully at risk for recovery of its authorized revenue requirement from the auction for intrastate transmission. Thus, the Comprehensive Settlement Agreement places SoCalGas 100% at risk for noncore throughput by placing it fully at risk for transmission revenues (effectively noncore throughput).</w:t>
      </w:r>
    </w:p>
    <w:p>
      <w:pPr>
        <w:pStyle w:val="Normal"/>
        <w:ind w:firstLine="720" w:end="0"/>
        <w:rPr/>
      </w:pPr>
      <w:r>
        <w:rPr/>
        <w:t>While the risk-sharing adopted through September 1, 2006 appears attractive for customers and SoCalGas competitors alike, TURN is extremely concerned about the long-term risk to captive ratepayers. Given current plans for potential extension or construction of additional interstate pipelines, plans for increased gas-fired electric generation, and the termination of the RLS tariff, to name just a few factors, It is possible to imagine capacity expansion in Southern California which could potentially decrease SoCalGas’ load factor.  Under such a scenario, SoCalGas could face stranded costs due to undersubscription of firm capacity.  Based on past experience, TURN cannot help but be worried that those costs would be passed on to customers after the expiration of the Comprehensive Settlement Agreement.</w:t>
      </w:r>
    </w:p>
    <w:p>
      <w:pPr>
        <w:pStyle w:val="Heading2"/>
        <w:ind w:hanging="0" w:start="0"/>
        <w:rPr/>
      </w:pPr>
      <w:bookmarkStart w:id="25" w:name="__RefHeading___Toc487876574"/>
      <w:bookmarkEnd w:id="25"/>
      <w:r>
        <w:rPr/>
        <w:t>The open season method proposed in the Comprehensive Settlement Agreement is not a “value-based” methodology for capacity allocation and creates a significant potential for market power abuse</w:t>
      </w:r>
    </w:p>
    <w:p>
      <w:pPr>
        <w:pStyle w:val="Normal"/>
        <w:ind w:firstLine="720" w:end="0"/>
        <w:rPr/>
      </w:pPr>
      <w:r>
        <w:rPr/>
      </w:r>
    </w:p>
    <w:p>
      <w:pPr>
        <w:pStyle w:val="Normal"/>
        <w:ind w:firstLine="720" w:end="0"/>
        <w:rPr/>
      </w:pPr>
      <w:r>
        <w:rPr/>
        <w:t>Even if the Commission felt compelled to unbundle transmission and adopt some kind of firm intrastate rights, the open season proposed by the Comprehensive Settlement Agreement does not at all comply with the “value-based” allocation envisioned by the Commission. In D.99-07-015, the Commission stated that: “The creation of firm, tradable intrastate transmission rights offers the hope of improving efficiency through value-based pricing, as well as providing individual shippers with greater certainty as to their ability to move certain quantities of gas through the pipeline system”  D.99-07-015, mimeo. at 136.  The Comprehensive Settlement Agreement does not propose value-based pricing for intrastate transmission, such that capacity would be allocated to the parties who value it most.</w:t>
      </w:r>
      <w:r>
        <w:rPr>
          <w:rStyle w:val="FootnoteCharacters"/>
          <w:rStyle w:val="FootnoteReference"/>
        </w:rPr>
        <w:footnoteReference w:id="12"/>
      </w:r>
      <w:r>
        <w:rPr/>
        <w:t xml:space="preserve">  Instead, the agreement sets forth a three-part open season, in which price is not a factor and term is the ultimate tiebreaker.  This system is unlikely to produce economic efficiency, and bears no resemblance to the system that is used to allocate firm transmission rights on the state’s electric transmission system. Mr. Florio perhaps summarized it best:</w:t>
      </w:r>
    </w:p>
    <w:p>
      <w:pPr>
        <w:pStyle w:val="Normal"/>
        <w:rPr/>
      </w:pPr>
      <w:r>
        <w:rPr/>
      </w:r>
    </w:p>
    <w:p>
      <w:pPr>
        <w:pStyle w:val="BodyTextIndent3"/>
        <w:rPr/>
      </w:pPr>
      <w:r>
        <w:rPr/>
        <w:t>Indeed, the CSA’s capacity allocation scheme gives new meaning to the old expression that “a camel is a horse designed by a committee.”  While the type of horse trading that produced this outcome may been an inherent part of the settlement process, it is a poor approach for achieving economic efficiency or advancing the public interest. (Exh. 102, p. 6.)</w:t>
      </w:r>
    </w:p>
    <w:p>
      <w:pPr>
        <w:pStyle w:val="Normal"/>
        <w:ind w:firstLine="720" w:end="0"/>
        <w:rPr/>
      </w:pPr>
      <w:r>
        <w:rPr/>
      </w:r>
    </w:p>
    <w:p>
      <w:pPr>
        <w:pStyle w:val="Heading1"/>
        <w:ind w:hanging="0" w:start="0"/>
        <w:rPr/>
      </w:pPr>
      <w:bookmarkStart w:id="26" w:name="__RefHeading___Toc487876575"/>
      <w:bookmarkEnd w:id="26"/>
      <w:r>
        <w:rPr/>
        <w:t>storage and Balancing</w:t>
      </w:r>
    </w:p>
    <w:p>
      <w:pPr>
        <w:pStyle w:val="Heading2"/>
        <w:ind w:hanging="0" w:start="0"/>
        <w:rPr/>
      </w:pPr>
      <w:bookmarkStart w:id="27" w:name="__RefHeading___Toc487876576"/>
      <w:bookmarkEnd w:id="27"/>
      <w:r>
        <w:rPr/>
        <w:t>Load diversity and system-wide balancing provide benefits to both core and noncore customers</w:t>
      </w:r>
    </w:p>
    <w:p>
      <w:pPr>
        <w:pStyle w:val="Normal"/>
        <w:rPr/>
      </w:pPr>
      <w:r>
        <w:rPr/>
      </w:r>
    </w:p>
    <w:p>
      <w:pPr>
        <w:pStyle w:val="Normal"/>
        <w:ind w:firstLine="720" w:end="0"/>
        <w:rPr/>
      </w:pPr>
      <w:r>
        <w:rPr/>
        <w:t>System-wide balancing, in which the same set of storage and line pack assets are used to balance all customers,</w:t>
      </w:r>
      <w:r>
        <w:rPr>
          <w:rStyle w:val="FootnoteCharacters"/>
          <w:rStyle w:val="FootnoteReference"/>
        </w:rPr>
        <w:footnoteReference w:id="13"/>
      </w:r>
      <w:r>
        <w:rPr/>
        <w:t xml:space="preserve"> provides two distinct benefits to both core and noncore customers. As explained by witness Catherine Yap, combined balancing reduces the potential for separate core or noncore imbalances. Her analysis was undisputed and showed that for the time period November 1998 through December 1999, core customers used in excess of the core’s allocated injection capacity on 83 days. (Exh. 101, pp. 29-30.)  Noncore customers used in excess of the noncore’s allocated injection capacity on 56 days and exceeded the noncore withdrawal capacity on 75 days.</w:t>
      </w:r>
      <w:r>
        <w:rPr>
          <w:rStyle w:val="FootnoteCharacters"/>
          <w:rStyle w:val="FootnoteReference"/>
        </w:rPr>
        <w:footnoteReference w:id="14"/>
      </w:r>
      <w:r>
        <w:rPr/>
        <w:t xml:space="preserve">  However, analyzing the combined data for core and noncore injection and withdrawal shows that together the customers exceeded the system balancing injection capacity only on 23 days and never exceeded the combined withdrawal capacity.  (Exh. 101, p. 30, Yap.) </w:t>
      </w:r>
    </w:p>
    <w:p>
      <w:pPr>
        <w:pStyle w:val="Normal"/>
        <w:ind w:firstLine="720" w:end="0"/>
        <w:rPr/>
      </w:pPr>
      <w:r>
        <w:rPr/>
        <w:t>Ms. Yap concluded that "the number and intensity of OFO's will increase dramatically for both core and noncore customers as a result of the loss of diversity and reduction and balancing resources." (Exh. 102, p. 36.) She presented a table comparing actual 1999 OFO occurrences with projected OFO events that would occur if Comprehensive Settlement rules were assumed to be in place.  (See Exh.102, p. 36.)  The table demonstrates that the core would have an 89-fold increase in OFO events, going from 1 to 89 events, as well as a 39-fold increase in the average over nomination volume, going from 4,886 dth to 189,104 dth. Noncore OFO events would likewise increase dramatically.</w:t>
      </w:r>
    </w:p>
    <w:p>
      <w:pPr>
        <w:pStyle w:val="Normal"/>
        <w:ind w:firstLine="720" w:end="0"/>
        <w:rPr/>
      </w:pPr>
      <w:r>
        <w:rPr/>
        <w:t>An increase in the occurrence of OFOs imposes additional customer costs due to imbalance penalties, especially on low-load noncore customers such as electric generators.  The increase in OFOs was the main issue concerning PG&amp;E in R.98-01-011 and led to the first settlement approved in D.00-02-050.</w:t>
      </w:r>
    </w:p>
    <w:p>
      <w:pPr>
        <w:pStyle w:val="Heading2"/>
        <w:ind w:hanging="0" w:start="0"/>
        <w:rPr/>
      </w:pPr>
      <w:bookmarkStart w:id="28" w:name="__RefHeading___Toc487876577"/>
      <w:bookmarkEnd w:id="28"/>
      <w:r>
        <w:rPr/>
        <w:t>The Comprehensive Settlement Agreement deprives core procurement customers of Storage and Balancing assets while charging them the same cost</w:t>
      </w:r>
    </w:p>
    <w:p>
      <w:pPr>
        <w:pStyle w:val="Normal"/>
        <w:rPr/>
      </w:pPr>
      <w:r>
        <w:rPr/>
      </w:r>
    </w:p>
    <w:p>
      <w:pPr>
        <w:pStyle w:val="Normal"/>
        <w:ind w:firstLine="720" w:end="0"/>
        <w:rPr/>
      </w:pPr>
      <w:r>
        <w:rPr/>
        <w:t xml:space="preserve">Historically, Gas Acquisition has been allocated a reservation of sufficient storage capacities for the reliability and balancing needs of core customers. The 1999 BCAP reserved 70 Bcf of inventory capacity, 327 MMcf/d of injection capacity and 1935 MMcf/d of withdrawal capacity for the core, at a total cost under LRMC rates of $40.57 million.  (Exh. 21, Tab 3, Lorenz.) Additionally, under the current system-wide balancing approach the core pays for 25.5 MMcf/d of balancing injection capacity to account for the greater need for storage injection during the summer period to reach the required November 1 inventory level, which represents a cost of approximately $0.5 million (using marginal unit costs).  (RT 413, Lorenz/SoCalGas.) </w:t>
      </w:r>
    </w:p>
    <w:p>
      <w:pPr>
        <w:pStyle w:val="Normal"/>
        <w:ind w:firstLine="720" w:end="0"/>
        <w:rPr/>
      </w:pPr>
      <w:r>
        <w:rPr/>
        <w:t xml:space="preserve">Proponents of the Comprehensive Settlement Agreement argue that core customers realize savings of $5.15 million due to a decrease in storage costs.  (e.g., Exh. 2, p. 6, ll. 24, Lorenz.)  As clarified by Mr. Lorenz, however, this decrease is “partially as a result of this restructuring and partially as a result of embedded cost pricing.”  (Exh. 2, p. 18, ll. 14-15.) The “restructuring” mentioned by Mr. Lorenz is the reduction of core storage inventory by 15 Bcf. The value of this reduction based on the embedded unit cost of inventory capacity is $3.13 million. (Exh. 21, Tab 3.)  Mr. Lorenz claims that these two “impacts … interact with each other and produce the $5.2 million total benefit.” (RT 416, ll. 1-2.)  While this statement may be true in the narrow technical sense that storage unit costs would be slightly different if the core had a larger inventory reservation, there is no theoretical or practical problem with identifying two separate cost impacts, “one … associated with the inventory reduction, and one … associated with the change from … LRMC cost to embedded cost.” (RT 415, ll. 23-27, Lorenz.) Thus, the actual “benefit” to core customers due only to the difference between embedded and marginal cost pricing is approximately $2.0 million.  While nothing to sneeze at, one must remember that the Comprehensive Settlement Agreement as a package provides for no cost shifting between core and noncore customers, so that transmission unbundling is calculated to cancel out the “$5 million” benefit to core customers.  Since the benefit is actually only $2 million, </w:t>
      </w:r>
      <w:r>
        <w:rPr>
          <w:u w:val="single"/>
        </w:rPr>
        <w:t>the net result of the Comprehensive Settlement Agreement capacity cost unbundling is that the core would pay $3 million more for the same assets as it holds today.</w:t>
      </w:r>
    </w:p>
    <w:p>
      <w:pPr>
        <w:pStyle w:val="Normal"/>
        <w:ind w:firstLine="720" w:end="0"/>
        <w:rPr/>
      </w:pPr>
      <w:r>
        <w:rPr/>
        <w:t>Does the core need the 15 Bcf in storage?  The evidence from R.98-01-011 indicates that the core may not need all 70 Bcf of storage inventory to meet its reliability needs, but that the core does use any excess storage for price arbitrage. (e.g., R.98-01-011, RT 506, ll. 11-14, Watson.) Thus, while it may be true that core does not “need” the storage, it is certainly not true that core obtains no value from its storage assets.  The Comprehensive Settlement Agreement reduces the core inventory without any compensation.</w:t>
      </w:r>
    </w:p>
    <w:p>
      <w:pPr>
        <w:pStyle w:val="Normal"/>
        <w:ind w:firstLine="720" w:end="0"/>
        <w:rPr/>
      </w:pPr>
      <w:r>
        <w:rPr/>
        <w:t xml:space="preserve">Moreover, the evidence is somewhat ambiguous regarding the exact value of and need for core inventory storage. As explained by Mr. Lorenz (RT 1008, ll. 15-26) and Mr. Pocta (RT 1010, ll. 1-8), the core needs 35 Bcf in inventory to meet total winter reliability, and also needs to have 17-18 Bcf in storage by end of January to allow for maximum withdrawal (at 1935 MMcf/d) for peak day use. However, reducing core inventory storage to 35 Bcf means that over the first three winter months the core could average withdrawals of only 200 MMcf/d (17 Bcf/90 days) in order to maintain 17-18 Bcf in storage by end of January. </w:t>
      </w:r>
    </w:p>
    <w:p>
      <w:pPr>
        <w:pStyle w:val="Heading2"/>
        <w:ind w:hanging="0" w:start="0"/>
        <w:rPr/>
      </w:pPr>
      <w:bookmarkStart w:id="29" w:name="__RefHeading___Toc487876578"/>
      <w:bookmarkEnd w:id="29"/>
      <w:r>
        <w:rPr/>
        <w:t>Unbundling balancing imposes costs without significant benefits</w:t>
      </w:r>
    </w:p>
    <w:p>
      <w:pPr>
        <w:pStyle w:val="Heading3"/>
        <w:ind w:hanging="0" w:start="0"/>
        <w:rPr/>
      </w:pPr>
      <w:bookmarkStart w:id="30" w:name="__RefHeading___Toc487876579"/>
      <w:bookmarkEnd w:id="30"/>
      <w:r>
        <w:rPr/>
        <w:t>The benefit of unbundling balancing is very small for core transport customers</w:t>
      </w:r>
    </w:p>
    <w:p>
      <w:pPr>
        <w:pStyle w:val="Normal"/>
        <w:rPr/>
      </w:pPr>
      <w:r>
        <w:rPr/>
      </w:r>
    </w:p>
    <w:p>
      <w:pPr>
        <w:pStyle w:val="Normal"/>
        <w:ind w:firstLine="720" w:end="0"/>
        <w:rPr/>
      </w:pPr>
      <w:r>
        <w:rPr/>
        <w:t>For core customers the benefit of balancing unbundling is highly illusory.  First of all, there is no benefit, and only added costs, for the core procurement customers (see Section VIII.B for a discussion of benefits to retail core versus core procurement). Secondly, core transport customers get very little credit for balancing unbundling and cannot avoid using this service by virtue of their load profile.  Core aggregators have a rather complicated set of choices related to the provision of balancing services.</w:t>
      </w:r>
      <w:r>
        <w:rPr>
          <w:rStyle w:val="FootnoteCharacters"/>
          <w:rStyle w:val="FootnoteReference"/>
        </w:rPr>
        <w:footnoteReference w:id="15"/>
      </w:r>
      <w:r>
        <w:rPr/>
        <w:t xml:space="preserve"> Core aggregators can obtain a credit of 1.6 cents/dth for rejecting their portion of core balancing assets and becoming core aggregators. (Exh. 2, p. 18, Lorenz.)  However, Mr. Counihan acknowledges that this represents the upper limit of the aggregator’s savings, since the aggregator has to replace those assets.  And since core customers are very low load factor customers, an aggregator must ensure sufficient assets to balance on peak usage days.</w:t>
      </w:r>
    </w:p>
    <w:p>
      <w:pPr>
        <w:pStyle w:val="Normal"/>
        <w:ind w:firstLine="720" w:end="0"/>
        <w:rPr/>
      </w:pPr>
      <w:r>
        <w:rPr/>
        <w:t xml:space="preserve">Both settlements would also provide for an unbundling of storage costs for CATs.  In this instance there is less of a cost shifting issue, as any unused capacity would be marketed as part of SoCal’s overall unbundled storage program, with the company bearing a substantial portion of the risk.  The two settlements differ primarily with respect to the amount of capacity that would be unbundled.  The CSA would allow essentially all of storage capacity otherwise assignable to CATs to be unbundled.  The Post-Interim Settlement Agreement, in contrast, would unbundle only the “non-reliability related” portion of the core storage reservation, which the Interim Settlement Agreement defined as 50% of the inventory and associated injection capacity assigned to core service in the 1999 SoCalGas BCAP.  </w:t>
      </w:r>
    </w:p>
    <w:p>
      <w:pPr>
        <w:pStyle w:val="Normal"/>
        <w:ind w:firstLine="720" w:end="0"/>
        <w:rPr/>
      </w:pPr>
      <w:r>
        <w:rPr/>
        <w:t>The Post-Interim Settlement Agreement approach is more prudent, as it keeps reliability-related core storage bundled for at least this BCAP cycle, while a wide variety of other system changes are being implemented and evaluated.  The costs and benefits of further unbundling could then be considered in the next SoCalGas BCAP.</w:t>
      </w:r>
    </w:p>
    <w:p>
      <w:pPr>
        <w:pStyle w:val="Heading3"/>
        <w:ind w:hanging="0" w:start="0"/>
        <w:rPr/>
      </w:pPr>
      <w:bookmarkStart w:id="31" w:name="__RefHeading___Toc487876580"/>
      <w:bookmarkEnd w:id="31"/>
      <w:r>
        <w:rPr/>
        <w:t>System Efficiency gains from unbundling balancing are small</w:t>
      </w:r>
    </w:p>
    <w:p>
      <w:pPr>
        <w:pStyle w:val="Normal"/>
        <w:rPr/>
      </w:pPr>
      <w:r>
        <w:rPr/>
      </w:r>
    </w:p>
    <w:p>
      <w:pPr>
        <w:pStyle w:val="Normal"/>
        <w:ind w:firstLine="720" w:end="0"/>
        <w:rPr/>
      </w:pPr>
      <w:r>
        <w:rPr/>
        <w:t>Proponents of unbundled balancing and separate core and noncore balancing portray the current system-wide balancing as a subsidy from customers who require less balancing services to those who may utilize more balancing services. Thus, they see the benefit of unbundling not so much from price reduction due to competition but from the ability of some customers to avoid an unneeded service.</w:t>
      </w:r>
    </w:p>
    <w:p>
      <w:pPr>
        <w:pStyle w:val="Normal"/>
        <w:rPr/>
      </w:pPr>
      <w:r>
        <w:rPr/>
        <w:tab/>
        <w:t xml:space="preserve">However, the important question from a regulatory perspective should be whether an identifiable and separable group of customers </w:t>
      </w:r>
      <w:r>
        <w:rPr>
          <w:u w:val="single"/>
        </w:rPr>
        <w:t>systematically</w:t>
      </w:r>
      <w:r>
        <w:rPr/>
        <w:t xml:space="preserve"> uses more assets than it pays for.  No showing has been made in this case that particular customers or customer classes are subsidizing the cost of balancing for other classes.  The analysis by Ms. Yap shows that both core and noncore at times use more, or different, assets than they pay for.  But this analysis does not at all demonstrate that on average the cost allocation of balancing assets as between core and noncore is not properly based on average cost causation.  Obviously, these two customer classes should pay for the average of their use of balancing services.  The fact that on a daily basis their use departs from average simply demonstrates that they have different seasonal use patterns and that system-wide balancing thus benefits both by taking advantage of load diversity and not requiring each group to pay for assets necessary to assure peak use.</w:t>
      </w:r>
    </w:p>
    <w:p>
      <w:pPr>
        <w:pStyle w:val="Normal"/>
        <w:ind w:firstLine="720" w:end="0"/>
        <w:rPr/>
      </w:pPr>
      <w:r>
        <w:rPr/>
        <w:t xml:space="preserve">It may certainly be true that there are individual customers who require less balancing services and would benefit financially from unbundling.  Whether this benefit offsets transaction costs and potentially higher costs for other customers is both a philosophical and economic question. Philosophically, the dispute is whether everyone should pay for balancing assets in exactly the same proportion as they use them.  However, no customer class is homogeneous, and a certain amount of averaging of any cost of a regulated utility service is practically necessary to prevent the regulatory morass of attempting segregation by cost causation for any customer who imposes a difference in cost. </w:t>
      </w:r>
    </w:p>
    <w:p>
      <w:pPr>
        <w:pStyle w:val="Normal"/>
        <w:rPr/>
      </w:pPr>
      <w:r>
        <w:rPr/>
        <w:tab/>
        <w:t>There is also an assumption by many parties that high load factor customers require less balancing and thus subsidize low load factor customers. (See, for example, Exh. 9, p. 5, ll.5-6, Amirault.) This assumption has not been substantiated by record evidence.  While intuitively appealing, the assumption ignores the reality of gas purchasing behavior and the system benefits created by building a system which includes low load factor customers.  Large gas users tend to purchase gas based not only on expected consumption but also based on price. Customer imbalances could result as much from attempts to maximize price arbitrage as from changes in usage. There is no record evidence correlating the relationship between customer usage load factor profile (what is characterized as the actual load factor) with the customer’s purchasing load factor profile (which could be different).</w:t>
      </w:r>
    </w:p>
    <w:p>
      <w:pPr>
        <w:pStyle w:val="Normal"/>
        <w:rPr/>
      </w:pPr>
      <w:r>
        <w:rPr/>
        <w:tab/>
        <w:t>Moreover, the assumption regarding subsidy by high load factor customers ignores the reverse subsidy of system costs. The low load factor customers use a majority of the gas throughput on SoCalGas’ system. The system capacity was designed largely for those customers, but the benefits of resulting economies of scale accrue to all customers on the system.</w:t>
      </w:r>
    </w:p>
    <w:p>
      <w:pPr>
        <w:pStyle w:val="Normal"/>
        <w:rPr/>
      </w:pPr>
      <w:r>
        <w:rPr/>
        <w:tab/>
        <w:t xml:space="preserve">Moreover, the Post-Interim Settlement Agreement imposes the same balancing rules for both core and noncore customers. This should ensure that there is no undue use of noncore resources for the core as well as vice versa.  (Exh. 101, p. 31, Yap.)  At the same time, the Interim Settlement would allow all customers to benefit from the diversity of load. Core customers obtain access to greater quantities of inexpensive (spring time) gas supplies than they would if they were constrained to the 352.5 MMcf/d of injection that they pay for under the BCAP decision, and they do so without having to buy additional injection capacity on a secondary market at unconstrained prices. </w:t>
      </w:r>
    </w:p>
    <w:p>
      <w:pPr>
        <w:pStyle w:val="Normal"/>
        <w:rPr/>
      </w:pPr>
      <w:r>
        <w:rPr/>
        <w:tab/>
        <w:t>It is clear that SoCalGas and independent storage providers, not customers, will benefit from unbundling of balancing. As discussed previously, core sales customers will get absolutely no benefits.  Self-balancing core transport customers and noncore customers will receive a credit of 1.6 cents per decatherm. But the primary effect will be to "increase the demand for the unbundled storage and hub services provided by SoCalGas and the independent storage providers ...."  (Exh.102, p. 35, Florio.)</w:t>
      </w:r>
    </w:p>
    <w:p>
      <w:pPr>
        <w:pStyle w:val="Heading3"/>
        <w:ind w:hanging="0" w:start="0"/>
        <w:rPr/>
      </w:pPr>
      <w:bookmarkStart w:id="32" w:name="__RefHeading___Toc487876581"/>
      <w:bookmarkEnd w:id="32"/>
      <w:r>
        <w:rPr/>
        <w:t>Unbundling storage and balancing will increase gas costs for core customers</w:t>
      </w:r>
    </w:p>
    <w:p>
      <w:pPr>
        <w:pStyle w:val="Normal"/>
        <w:rPr/>
      </w:pPr>
      <w:r>
        <w:rPr/>
      </w:r>
    </w:p>
    <w:p>
      <w:pPr>
        <w:pStyle w:val="BodyTextIndent"/>
        <w:rPr/>
      </w:pPr>
      <w:r>
        <w:rPr/>
        <w:t>Core procurement customers cannot utilize the 25.5 MMcf/d of system balancing assets and under separate balancing are limited to 325 MMcf/d in injection. (RT 413, ll. 18-20, Lorenz/SoCalGas.)  Separate balancing will result in higher gas costs for the Gas Acquisition Department.  As explained by Ms. Yap, core has utilized high injection rates to purchase gas during periods of low gas prices, generally in the early spring. (RT 323-325, Yap.) For example, Gas Acquisition used more than its 355.5 of alloted injection capacity in May and June of 1999. (Exh. 109, pp. 2-9, Yap.) If Gas Acquisition is limited to only 325 MMcf/d in injection, it will have to purchase gas over an extended spring and summer period in order to meet its November 1</w:t>
      </w:r>
      <w:r>
        <w:rPr>
          <w:vertAlign w:val="superscript"/>
        </w:rPr>
        <w:t>st</w:t>
      </w:r>
      <w:r>
        <w:rPr/>
        <w:t xml:space="preserve"> inventory target. Using injection and price data from 1999 Ms. Yap calculated that Gas Acquisition would have incurred an additional $5.56 million in gas costs if it had not been able to inject above its 355.5 reservation during May and June, but instead would have had to inject more evenly throughout the entire May through October injection season. (Exh. 109, p. 1, Yap.)</w:t>
      </w:r>
    </w:p>
    <w:p>
      <w:pPr>
        <w:pStyle w:val="Normal"/>
        <w:ind w:firstLine="720" w:end="0"/>
        <w:rPr/>
      </w:pPr>
      <w:r>
        <w:rPr/>
        <w:t>Unbundled balancing will also impose some transaction costs associated with the rebundling of balancing and storage services. (RT 323, ll. 13-17, Weil.) Those services will be particularly essential for low load factor customers.</w:t>
      </w:r>
    </w:p>
    <w:p>
      <w:pPr>
        <w:pStyle w:val="Heading2"/>
        <w:ind w:hanging="0" w:start="0"/>
        <w:rPr/>
      </w:pPr>
      <w:bookmarkStart w:id="33" w:name="__RefHeading___Toc487876582"/>
      <w:bookmarkEnd w:id="33"/>
      <w:r>
        <w:rPr/>
        <w:t>the Post-Interim Settlement Agreement benefits all customers by removing the costs of montebello from rates</w:t>
      </w:r>
    </w:p>
    <w:p>
      <w:pPr>
        <w:pStyle w:val="Normal"/>
        <w:rPr/>
      </w:pPr>
      <w:r>
        <w:rPr/>
      </w:r>
    </w:p>
    <w:p>
      <w:pPr>
        <w:pStyle w:val="Normal"/>
        <w:ind w:firstLine="720" w:end="0"/>
        <w:rPr/>
      </w:pPr>
      <w:r>
        <w:rPr/>
        <w:t>SoCalGas has not used the Montebello gas storage field since April of 1997. (Exh. 101, pp. 55-56, Florio.) However, ratepayers continue to pay the revenue requirement associated with this field in base rates. Moreover, Montebello capacity is not available for sale under the unbundled storage program and the costs of Montebello are recovered through the LRMC scaler, based on equal percent of marginal costs (“EPMC”).  (RT 418, ll. 6-10, Lorenz.) As result, SoCalGas' core customers are currently paying approximately 85 percent of the costs, with residential customers paying 70 percent of the cost.  (Exh.101, p. 56, Florio;</w:t>
      </w:r>
      <w:r>
        <w:rPr>
          <w:i/>
        </w:rPr>
        <w:t xml:space="preserve"> </w:t>
      </w:r>
      <w:r>
        <w:rPr/>
        <w:t>Exh.102, p. 3, Florio.)</w:t>
      </w:r>
    </w:p>
    <w:p>
      <w:pPr>
        <w:pStyle w:val="BodyTextIndent"/>
        <w:rPr/>
      </w:pPr>
      <w:r>
        <w:rPr/>
        <w:t>Even though it unbundles other storage costs from base rates, the Comprehensive Settlement Agreement continues to allocate Montebello costs through the LRMC scaler. (RT 418, ll. 11-15, Lorenz.) However, core customers would pay 94% of the scaler under the allocation in the Comprehensive Settlement Agreement.  While it is true that the total costs allocated through the LRMC scaler decrease, the cost of Montebello remaining in the scaler is exactly the same. (RT 419, ll. 17-20, Lorenz.) The annual revenue requirement associated with Montebello is roughly $10-15 million. Thus, core customers end up paying at least an additional $1.0 million (another 10%) of Montebello costs under the Comprehensive Settlement Agreement. Removing the costs of Montebello from rates represents a savings to all customers.</w:t>
      </w:r>
    </w:p>
    <w:p>
      <w:pPr>
        <w:pStyle w:val="Normal"/>
        <w:ind w:firstLine="720" w:end="0"/>
        <w:rPr/>
      </w:pPr>
      <w:r>
        <w:rPr/>
        <w:t xml:space="preserve">It is inconsistent and unfair to unbundle embedded storage costs from base rates while at the same time leaving the unused Montebello facility costs in a distribution–only LRMC scaler. The Post-Interim Settlement Agreement ends this subsidy to SoCalGas by removing Montebello from rates entirely. </w:t>
      </w:r>
    </w:p>
    <w:p>
      <w:pPr>
        <w:pStyle w:val="Normal"/>
        <w:ind w:firstLine="720" w:end="0"/>
        <w:rPr/>
      </w:pPr>
      <w:r>
        <w:rPr/>
        <w:t>It is entirely appropriate to remove Montebello costs from rates in this proceeding. In A.98-01-015 SoCalGas stated that it has not used the Montebello facility since before April, 1997, and that it has sufficient excess storage capacity to meet all of its contractual obligations.  (Ex. 101, p. 56, Florio.) Indeed, in D-99-09-068, the Commission dismissed without prejudice SoCalGas' application to sell its Montebello facility.  The Commission found that ratepayers should not continue to pay the costs associated with Montebello if it were subsequently determined that the facility has not been used and useful.  Therefore, the Commission ordered that rates collected due to Montebello after the effective date of D.99-09-068, September 16, 1999, would be subject to refund pending final resolution of Montebello-related issues.</w:t>
      </w:r>
    </w:p>
    <w:p>
      <w:pPr>
        <w:pStyle w:val="Heading1"/>
        <w:ind w:hanging="0" w:start="0"/>
        <w:rPr/>
      </w:pPr>
      <w:bookmarkStart w:id="34" w:name="__RefHeading___Toc487876583"/>
      <w:bookmarkEnd w:id="34"/>
      <w:r>
        <w:rPr/>
        <w:t>the embedded cost unbundling in the Comprehensive Settlement Agreement is manipulated and disadvantages core customers</w:t>
      </w:r>
    </w:p>
    <w:p>
      <w:pPr>
        <w:pStyle w:val="Heading2"/>
        <w:ind w:hanging="0" w:start="0"/>
        <w:rPr/>
      </w:pPr>
      <w:bookmarkStart w:id="35" w:name="__RefHeading___Toc487876584"/>
      <w:bookmarkEnd w:id="35"/>
      <w:r>
        <w:rPr/>
        <w:t>The embedded cost methodology in the Comprehensive Settlement Agreement was result-driven</w:t>
      </w:r>
    </w:p>
    <w:p>
      <w:pPr>
        <w:pStyle w:val="Normal"/>
        <w:rPr/>
      </w:pPr>
      <w:r>
        <w:rPr/>
      </w:r>
    </w:p>
    <w:p>
      <w:pPr>
        <w:pStyle w:val="Normal"/>
        <w:ind w:firstLine="720" w:end="0"/>
        <w:rPr/>
      </w:pPr>
      <w:r>
        <w:rPr/>
        <w:t xml:space="preserve">The Comprehensive Settlement Agreement purports to unbundle the embedded costs of transmission and storage from customer rates.  However, one of the more amazing aspects of the cost unbundling is that the cost allocation was wholly result oriented. As testified by numerous witnesses, the entire goal of the cost allocation used in the embedded cost unbundling was to preclude any shifting of costs between core and noncore customers compared to the cost allocation adopted in the recent SoCalGas BCAP decision, D.00-04-060, excluding the impact of ending the core ITCS responsibility.  (Exh. 2, p. 27, ll. 1-10, Lorenz; Exh. 7, p. 16, ll. 21-27, Counihan; Exh. 6, p. 8, ll. 20-24, Dasovich.) </w:t>
      </w:r>
    </w:p>
    <w:p>
      <w:pPr>
        <w:pStyle w:val="Normal"/>
        <w:ind w:firstLine="720" w:end="0"/>
        <w:rPr/>
      </w:pPr>
      <w:r>
        <w:rPr/>
        <w:t>These witnesses present this result as a positive effect element of the Comprehensive Settlement Agreement. However, the Commission should ask whether such a result is indeed fair compared to an embedded cost allocation based on an appropriate embedded cost methodology, not based on a preordained result. In order to accomplish its goal, the Comprehensive Settlement Agreement shifts costs without any justification and functionalizes A&amp;G costs in a manner contrary to Commission precedent so as to prevent a potential benefit from unbundling for core customers. The embedded cost methodology was arbitrarily adjusted to prevent more costs being paid by noncore customers than was desired by the signatories to the Comprehensive Settlement Agreement.</w:t>
      </w:r>
    </w:p>
    <w:p>
      <w:pPr>
        <w:pStyle w:val="Heading2"/>
        <w:ind w:hanging="0" w:start="0"/>
        <w:rPr/>
      </w:pPr>
      <w:bookmarkStart w:id="36" w:name="__RefHeading___Toc487876585"/>
      <w:bookmarkEnd w:id="36"/>
      <w:r>
        <w:rPr/>
        <w:t>Manipulation of the embedded cost numbers shifted costs onto core customers</w:t>
      </w:r>
    </w:p>
    <w:p>
      <w:pPr>
        <w:pStyle w:val="Heading3"/>
        <w:ind w:hanging="0" w:start="0"/>
        <w:rPr/>
      </w:pPr>
      <w:bookmarkStart w:id="37" w:name="__RefHeading___Toc487876586"/>
      <w:bookmarkEnd w:id="37"/>
      <w:r>
        <w:rPr/>
        <w:t>A&amp;G numbers were functionalized entirely based on O&amp;M rather than on the Commission’s adopted practice of 50/50 classification</w:t>
      </w:r>
    </w:p>
    <w:p>
      <w:pPr>
        <w:pStyle w:val="Normal"/>
        <w:ind w:firstLine="720" w:end="0"/>
        <w:rPr/>
      </w:pPr>
      <w:r>
        <w:rPr/>
      </w:r>
    </w:p>
    <w:p>
      <w:pPr>
        <w:pStyle w:val="Normal"/>
        <w:ind w:firstLine="720" w:end="0"/>
        <w:rPr/>
      </w:pPr>
      <w:r>
        <w:rPr/>
        <w:t xml:space="preserve">Administrative and general (”A&amp;G”) costs were allocated to the transmission function directly in proportion to operation and management (“O&amp;M”) costs (RT 417, ll. 1-8, Lorenz), resulting in $29.1 million of A&amp;G costs allocated to the transmission function. (Exh. 2, Attach. 2, Lorenz.) Such a functionalization method is contrary to Commission precedent and shifts costs from core to noncore customers. A&amp;G and O&amp;M costs were then allocated 50/50 between backbone and local transmission, again based on a study concerning only O&amp;M costs. </w:t>
      </w:r>
    </w:p>
    <w:p>
      <w:pPr>
        <w:pStyle w:val="Normal"/>
        <w:ind w:firstLine="720" w:end="0"/>
        <w:rPr/>
      </w:pPr>
      <w:r>
        <w:rPr/>
        <w:t>The last time the Commission allocated costs on an embedded cost basis was in SoCalGas’ 1991 BCAP, D.91-12-075.  In that proceeding, the Commission continued the practice of functionalizing fifty percent of the A&amp;G costs based on O&amp;M expenses and allocating fifty percent on an equal cents per therm basis.  D.91-12-075, Slip op. at 30-34. Allocating costs based on equal cents per therm rather than proportionately to O&amp;M cost is more beneficial to core customers. Core customers represent approximately 37% of the load, but pay for approximately 52% of the transmission and storage margin (a gross approximation of O&amp;M allocation).  D.00-04-060, App. D, Table 10, p. 1.</w:t>
      </w:r>
    </w:p>
    <w:p>
      <w:pPr>
        <w:pStyle w:val="Normal"/>
        <w:ind w:firstLine="720" w:end="0"/>
        <w:rPr/>
      </w:pPr>
      <w:r>
        <w:rPr/>
        <w:t>The 50/50 method of classifying A&amp;G costs was adopted in D.86-12-009.  In that case, the Commission explained why functionalizing A&amp;G costs purely on the basis of O&amp;M costs is not defensible:</w:t>
      </w:r>
    </w:p>
    <w:p>
      <w:pPr>
        <w:pStyle w:val="Footer"/>
        <w:tabs>
          <w:tab w:val="clear" w:pos="4320"/>
          <w:tab w:val="clear" w:pos="8640"/>
        </w:tabs>
        <w:rPr/>
      </w:pPr>
      <w:r>
        <w:rPr/>
      </w:r>
    </w:p>
    <w:p>
      <w:pPr>
        <w:pStyle w:val="Normal"/>
        <w:spacing w:lineRule="auto" w:line="240"/>
        <w:ind w:start="720" w:end="0"/>
        <w:rPr/>
      </w:pPr>
      <w:r>
        <w:rPr/>
        <w:t>A&amp;G expenses are generally not broken into functions and classifications.  Unfortunately, the staff, the utilities, and some other parties have simplistically classified these costs on the same basis as operations and maintenance (O&amp;M) expenses are classified.  These parties have argued that this is a “standard” classification, without providing any evidence that A&amp;G costs are incurred on a similar basis as O&amp;M expenses. TURN has made a convincing showing that A&amp;G costs should be spread more on the basis of annual sales (in other words, equal cents per therm), and the PSD showing acknowledges the reasonableness of such a flatter allocation.  In view of our policy of moderating the impact of extreme allocations, we will adopt a compromise between the PSD and TURN methods:  50% of A&amp;G expenses will be classified as commodity-related and allocated on an equal cents per therm basis, and 50% will be classified in the same manner as O&amp;M expenses.</w:t>
      </w:r>
    </w:p>
    <w:p>
      <w:pPr>
        <w:pStyle w:val="BodyTextIndent"/>
        <w:rPr/>
      </w:pPr>
      <w:r>
        <w:rPr/>
      </w:r>
    </w:p>
    <w:p>
      <w:pPr>
        <w:pStyle w:val="BodyTextIndent"/>
        <w:ind w:hanging="0" w:end="0"/>
        <w:rPr/>
      </w:pPr>
      <w:r>
        <w:rPr/>
        <w:t xml:space="preserve">D.86-12-009, Slip op. at 25.  Indeed, the legislature enshrined this methodology in §739.6, which mandated that the cost allocation adopted in D.86-12-009 should be used at least through the end of 1990.  While the restrictions of §739.6 have technically expired, the Commission continued the 50/50 classification of A&amp;G costs in D.91-12-075, the only decision using embedded cost allocation methodology for SoCalGas since 1990.  SoCalGas’ methodology of functionalizing all A&amp;G costs based only on O&amp;M attempts to thwart Commission precedent in order to benefit noncore customers. </w:t>
      </w:r>
    </w:p>
    <w:p>
      <w:pPr>
        <w:pStyle w:val="Heading3"/>
        <w:ind w:hanging="0" w:start="0"/>
        <w:rPr/>
      </w:pPr>
      <w:bookmarkStart w:id="38" w:name="__RefHeading___Toc487876587"/>
      <w:bookmarkEnd w:id="38"/>
      <w:r>
        <w:rPr/>
        <w:t>Arbitrarily shifting embedded costs from backbone to local transmission hurts core customers</w:t>
      </w:r>
    </w:p>
    <w:p>
      <w:pPr>
        <w:pStyle w:val="Normal"/>
        <w:rPr/>
      </w:pPr>
      <w:r>
        <w:rPr/>
      </w:r>
    </w:p>
    <w:p>
      <w:pPr>
        <w:pStyle w:val="BodyTextIndent"/>
        <w:rPr/>
      </w:pPr>
      <w:r>
        <w:rPr/>
        <w:tab/>
        <w:t xml:space="preserve">Second, there is at least one other obvious example of arbitrary changes to embedded cost methodology that benefit noncore customers.  Attachment 3 to Exhibit 2 (Lorenz/SoCalGas) indicates that the split between backbone and local transmission costs was originally calculated based on the 63/37 split in the net book value of assets.  However, $4,075,000 was then moved from backbone to local as a result of a “negotiated reallocation.”  </w:t>
      </w:r>
    </w:p>
    <w:p>
      <w:pPr>
        <w:pStyle w:val="BodyTextIndent"/>
        <w:rPr/>
      </w:pPr>
      <w:r>
        <w:rPr/>
        <w:t>Reallocating costs from backbone to local transmission shift costs to core customers, since they pay proportionately more for local than backbone transmission. Mr. Pocta notes that the result is “pretty comparable” based on the relative backbone and local capacity allocators. (RT 414-415, Pocta/ORA.) However, Mr. Pocta also notes that the negotiation incorporated “the risk between backbone and local transmission.”  (RT 415, ll. 2-6.) Shifting costs to local transmission also shifts risk from SoCalGas to customers, especially to core customers.</w:t>
      </w:r>
    </w:p>
    <w:p>
      <w:pPr>
        <w:pStyle w:val="BodyTextIndent"/>
        <w:rPr/>
      </w:pPr>
      <w:r>
        <w:rPr/>
        <w:t>There is no methodological basis or justification for this “negotiated” outcome of embedded cost allocation except to produce the end result of an allocation between core and noncore identical to the BCAP allocation.  (RT 414, ll. 14-21, Lorenz.) Since the Comprehensive Settlement Agreement touts the fact that core customers are benefited by the unbundling of storage on an embedded cost basis, one can logically conclude that transmission unbundling was manipulated to offset the “5 million” (which is really 2 million) benefit to core customers. Indeed, the projected transmission costs for core customers under the Comprehensive Settlement Agreement represent an increase of $4.7 million relative to the BCAP transmission allocation, almost exactly equal to the gain in the storage allocation. (Exh. 102, p. 28, Yap.)</w:t>
      </w:r>
    </w:p>
    <w:p>
      <w:pPr>
        <w:pStyle w:val="BodyTextIndent"/>
        <w:rPr/>
      </w:pPr>
      <w:r>
        <w:rPr/>
        <w:t>It is difficult to compare allocation alternatives since the Comprehensive Settlement Agreement results in a mix of both embedded and marginal costs. As explained by several witnesses, the interaction of 1) changing the size of “the [base margin] pie” by removing storage and transmission, together with 2) changing the relative sizes of the remaining allocations between customer marginal costs, distribution marginal costs and the equal percentage of marginal costs (“EPMC”) scaler component, produces offsetting and complicated results. (e.g., RT 320, ll. 17-24, Florio/TURN.) While TURN does not a priori prefer marginal versus embedded cost allocation, TURN opposes using an unknown embedded cost methodology that explicitly manipulates the numbers to disadvantage core customers. (RT 256, l. 23 – RT 257, l. 4, Florio.)</w:t>
      </w:r>
    </w:p>
    <w:p>
      <w:pPr>
        <w:pStyle w:val="Heading1"/>
        <w:ind w:hanging="0" w:start="0"/>
        <w:rPr/>
      </w:pPr>
      <w:bookmarkStart w:id="39" w:name="__RefHeading___Toc487876588"/>
      <w:bookmarkEnd w:id="39"/>
      <w:r>
        <w:rPr/>
        <w:t>retail issues</w:t>
      </w:r>
    </w:p>
    <w:p>
      <w:pPr>
        <w:pStyle w:val="Normal"/>
        <w:rPr/>
      </w:pPr>
      <w:r>
        <w:rPr/>
      </w:r>
    </w:p>
    <w:p>
      <w:pPr>
        <w:pStyle w:val="Normal"/>
        <w:ind w:firstLine="720" w:end="0"/>
        <w:rPr/>
      </w:pPr>
      <w:r>
        <w:rPr/>
        <w:t>The Comprehensive Settlement Agreement identifies certain portions of the settlement as “retail” sections. (CSA §1.6.1.2.) These sections involve changes to the CAT program, the provision of billing options, a pilot meter ownership program, and the unbundling of core interstate capacity. The Post-Interim Settlement Agreement does not address a number of these retail issues, since TURN, SCGC and Aglet did not believe they should resolve these issues without other parties. However, several provisions of the retail sections are rather uncontroversial and could easily be resolved within another phase of this proceeding or by advice letter filing. Other provisions would harm customers and decrease customer choice. For this reason, TURN recommends that the Commission reject the entire Comprehensive Settlement Agreement, including all the retail sections. The signatories to the Comprehensive Settlement Agreement likewise do not recommend separate adoption of the retail sections. (e.g. RT 1113, Counihan.)</w:t>
      </w:r>
    </w:p>
    <w:p>
      <w:pPr>
        <w:pStyle w:val="Heading2"/>
        <w:ind w:hanging="0" w:start="0"/>
        <w:rPr/>
      </w:pPr>
      <w:bookmarkStart w:id="40" w:name="__RefHeading___Toc487876589"/>
      <w:bookmarkEnd w:id="40"/>
      <w:r>
        <w:rPr/>
        <w:t>Certain of the retail provisions could be adopted in a separate phase of this proceeding</w:t>
      </w:r>
    </w:p>
    <w:p>
      <w:pPr>
        <w:pStyle w:val="Normal"/>
        <w:rPr/>
      </w:pPr>
      <w:r>
        <w:rPr/>
      </w:r>
    </w:p>
    <w:p>
      <w:pPr>
        <w:pStyle w:val="Normal"/>
        <w:ind w:firstLine="720" w:end="0"/>
        <w:rPr/>
      </w:pPr>
      <w:r>
        <w:rPr/>
        <w:t>A number of the retail provisions parallel already existing (e.g. billing credits, reduction of volume threshold) elements of the PG&amp;E CAT program, or parallel recent changes to the PG&amp;E program (e.g., elimination of penetration cap, billing provisions, meter ownership provisions). While mere consistency with PG&amp;E is no guide in itself, TURN notes that these changes were adopted recently and were entirely unopposed (unlike the Gas Accord). The Post-Interim Settlement Agreement does not preclude the retail provisions. Thus, TURN does not foresee major problems with parties negotiating these terms in a separate phase of this proceeding, after the Commission adopts the Post-Interim Settlement Agreement.</w:t>
      </w:r>
    </w:p>
    <w:p>
      <w:pPr>
        <w:pStyle w:val="Heading2"/>
        <w:ind w:hanging="0" w:start="0"/>
        <w:rPr/>
      </w:pPr>
      <w:bookmarkStart w:id="41" w:name="__RefHeading___Toc487876590"/>
      <w:bookmarkEnd w:id="41"/>
      <w:r>
        <w:rPr/>
        <w:t>Other retail provisions may harm customers</w:t>
      </w:r>
    </w:p>
    <w:p>
      <w:pPr>
        <w:pStyle w:val="Normal"/>
        <w:rPr/>
      </w:pPr>
      <w:r>
        <w:rPr/>
      </w:r>
    </w:p>
    <w:p>
      <w:pPr>
        <w:pStyle w:val="Normal"/>
        <w:ind w:firstLine="720" w:end="0"/>
        <w:rPr/>
      </w:pPr>
      <w:r>
        <w:rPr/>
        <w:t>However, there are other provisions in the retail sections that will harm core and noncore customers. For this reason, TURN agrees that the retail sections should not be adopted by themselves.</w:t>
      </w:r>
    </w:p>
    <w:p>
      <w:pPr>
        <w:pStyle w:val="Heading3"/>
        <w:ind w:hanging="0" w:start="0"/>
        <w:rPr/>
      </w:pPr>
      <w:bookmarkStart w:id="42" w:name="__RefHeading___Toc487876591"/>
      <w:bookmarkEnd w:id="42"/>
      <w:r>
        <w:rPr/>
        <w:t>Price disclosure on CAT bill</w:t>
      </w:r>
    </w:p>
    <w:p>
      <w:pPr>
        <w:pStyle w:val="Normal"/>
        <w:rPr/>
      </w:pPr>
      <w:r>
        <w:rPr/>
      </w:r>
    </w:p>
    <w:p>
      <w:pPr>
        <w:pStyle w:val="Normal"/>
        <w:ind w:firstLine="720" w:end="0"/>
        <w:rPr/>
      </w:pPr>
      <w:r>
        <w:rPr/>
        <w:t xml:space="preserve">Parallel to the provisions of the PG&amp;E Comprehensive Settlement, the Comprehensive Settlement Agreement eliminates the requirement for an information only bill. (CSA §7.2.4.) However, the corresponding PG&amp;E provision, §2.11.4, requires publication of “a market-index commodity price … or the currently-required PG&amp;E core procurement price in each end-user bill.” D.00-05-049, Attach. A, p. 26. </w:t>
      </w:r>
    </w:p>
    <w:p>
      <w:pPr>
        <w:pStyle w:val="Normal"/>
        <w:ind w:firstLine="720" w:end="0"/>
        <w:rPr/>
      </w:pPr>
      <w:r>
        <w:rPr/>
        <w:t>Disclosure of a market index price or of the regulated utility commodity price provides a modicum of protection for the core ratepayer. There are no EBBs or industry publications that provide market price transparency for the residential customer who desires to choose an alternate gas provider. Without the ability effectively to compare prices, the core customer can fall prey to aggregators who charge more, not less, for gas than the utility. (RT 1121-22, Pocta.)</w:t>
      </w:r>
    </w:p>
    <w:p>
      <w:pPr>
        <w:pStyle w:val="Normal"/>
        <w:ind w:firstLine="720" w:end="0"/>
        <w:rPr/>
      </w:pPr>
      <w:r>
        <w:rPr/>
        <w:t>Aggregators complain that requiring price disclosure of the utility price is anti-competitive.  However, the utility commodity price is a direct pass-through to ratepayers. The utility cannot reap economic rents from its fuel costs, aside from the shareholder incentives allowed if it minimizes costs compared to a benchmark. The utility cannot “compete” with the aggregator by lowering (or raising) its commodity price. Moreover, in the PG&amp;E settlement the aggregator has the option of listing a market index price rather than the utility commodity price.</w:t>
      </w:r>
    </w:p>
    <w:p>
      <w:pPr>
        <w:pStyle w:val="Heading3"/>
        <w:ind w:hanging="0" w:start="0"/>
        <w:rPr/>
      </w:pPr>
      <w:bookmarkStart w:id="43" w:name="__RefHeading___Toc487876592"/>
      <w:bookmarkEnd w:id="43"/>
      <w:r>
        <w:rPr/>
        <w:t>Implementation Costs</w:t>
      </w:r>
    </w:p>
    <w:p>
      <w:pPr>
        <w:pStyle w:val="Normal"/>
        <w:rPr/>
      </w:pPr>
      <w:r>
        <w:rPr/>
      </w:r>
    </w:p>
    <w:p>
      <w:pPr>
        <w:pStyle w:val="Normal"/>
        <w:ind w:firstLine="720" w:end="0"/>
        <w:rPr/>
      </w:pPr>
      <w:r>
        <w:rPr/>
        <w:t xml:space="preserve">The Comprehensive Settlement Agreement binds parties to agree not to protest the reasonableness of all implementation costs associated with the retail sections of the agreement.  These costs would be capitalized immediately and rolled into rate base in SoCalGas’ next PBR or cost of service proceeding. SoCalGas witness Nelson estimates the total cost of capital investments for both SoCalGas and SDG&amp;E to be $12.5 million.  (Exh. 3, p. 9)  </w:t>
      </w:r>
    </w:p>
    <w:p>
      <w:pPr>
        <w:pStyle w:val="Normal"/>
        <w:ind w:firstLine="720" w:end="0"/>
        <w:rPr/>
      </w:pPr>
      <w:r>
        <w:rPr/>
        <w:t xml:space="preserve">The cost of the computer-based systems necessary to automate processing and handle increased account load in the CAT program for both SoCalGas and SDG&amp;E are estimated to be $7.1 million. (Exh. 3, p. 10.)  These systems are necessary to accommodate the potential for program participation to exceed 10 percent of the core load due to the lifting of the 10 percent volume cap. </w:t>
      </w:r>
      <w:r>
        <w:rPr>
          <w:i/>
        </w:rPr>
        <w:t>Id.</w:t>
      </w:r>
      <w:r>
        <w:rPr/>
        <w:t xml:space="preserve"> Mr. Nelson estimates total system and software costs to enable SoCalGas and SDG&amp;E to offer utility consolidated billing to be $5.1 million.  (Exh. 3, pp. 15-16.)</w:t>
      </w:r>
    </w:p>
    <w:p>
      <w:pPr>
        <w:pStyle w:val="Normal"/>
        <w:ind w:firstLine="720" w:end="0"/>
        <w:rPr/>
      </w:pPr>
      <w:r>
        <w:rPr/>
        <w:t>Under the Comprehensive Settlement Agreement SoCalGas will be guaranteed cost recovery even if SoCalGas’ estimates turn out to be low and actual implementation costs are higher.  (RT 1133, ll. 13-17, Nelson.) SoCalGas will also be guaranteed cost recovery even if the CAT program does not increase at all, and the system modifications are totally unnecessary. Moreover, while SoCalGas and SDG&amp;E state they will not recover O&amp;M expenses related to the retail section, they intend to keep any revenues generated from fees paid by retailers. (Exh. 3, p. 25, ll. 11-19, Nelson.)</w:t>
      </w:r>
    </w:p>
    <w:p>
      <w:pPr>
        <w:pStyle w:val="Normal"/>
        <w:ind w:firstLine="720" w:end="0"/>
        <w:rPr/>
      </w:pPr>
      <w:r>
        <w:rPr/>
        <w:t>There is absolutely no reason to authorize a blank check to SoCalGas at this time. Mr. Nelson complains that SoCalGas’ computer systems for managing the CAT program were developed in 1991; however, SoCalGas capitalized $62.3 million in CIS costs in its last PBR decision. D.97-07-054, mimeo. at 82. It is not unreasonable to review SoCalGas spending on CIS in the next PBR without granting them license to spend whatever they choose as long as it is associated with the CAT program. SoCalGas should implement the needed changes as part of its ongoing system operations and recover whatever the Commission deems reasonable and prudent in its next PBR.</w:t>
      </w:r>
    </w:p>
    <w:p>
      <w:pPr>
        <w:pStyle w:val="Normal"/>
        <w:ind w:firstLine="720" w:end="0"/>
        <w:rPr/>
      </w:pPr>
      <w:r>
        <w:rPr/>
        <w:t>Furthermore, there is no justification for making SoCalGas’ ratepayers pay for all the changes necessary for SDG&amp;E operations.  At the very least these costs should be segregate and collected from SDG&amp;E customers.</w:t>
      </w:r>
    </w:p>
    <w:p>
      <w:pPr>
        <w:pStyle w:val="Heading3"/>
        <w:ind w:hanging="0" w:start="0"/>
        <w:rPr/>
      </w:pPr>
      <w:bookmarkStart w:id="44" w:name="__RefHeading___Toc487876593"/>
      <w:bookmarkEnd w:id="44"/>
      <w:r>
        <w:rPr/>
        <w:t>Core subscription</w:t>
      </w:r>
    </w:p>
    <w:p>
      <w:pPr>
        <w:pStyle w:val="Normal"/>
        <w:rPr/>
      </w:pPr>
      <w:r>
        <w:rPr/>
      </w:r>
    </w:p>
    <w:p>
      <w:pPr>
        <w:pStyle w:val="Normal"/>
        <w:ind w:firstLine="720" w:end="0"/>
        <w:rPr/>
      </w:pPr>
      <w:r>
        <w:rPr/>
        <w:t>While a number of the retail changes, such as the pilot meter ownership program, apparently increase customer choice, termination of the core subscription program limits customer choice.  Many smaller noncore customers have chosen this “premium” service because they prefer the reliability and ease of bundled utility service. The Comprehensive Settlement Agreement will force these customers to incur the transaction costs necessary to obtain a desirable service packages from marketers.</w:t>
      </w:r>
    </w:p>
    <w:p>
      <w:pPr>
        <w:pStyle w:val="Heading1"/>
        <w:ind w:hanging="0" w:start="0"/>
        <w:rPr/>
      </w:pPr>
      <w:bookmarkStart w:id="45" w:name="__RefHeading___Toc487876594"/>
      <w:bookmarkEnd w:id="45"/>
      <w:r>
        <w:rPr/>
        <w:t>the Comprehensive Settlement Agreement shifts risk from SoCalGas to customers and benefits the utility</w:t>
      </w:r>
    </w:p>
    <w:p>
      <w:pPr>
        <w:pStyle w:val="Normal"/>
        <w:rPr/>
      </w:pPr>
      <w:r>
        <w:rPr/>
      </w:r>
    </w:p>
    <w:p>
      <w:pPr>
        <w:pStyle w:val="Heading2"/>
        <w:ind w:hanging="0" w:start="0"/>
        <w:rPr/>
      </w:pPr>
      <w:bookmarkStart w:id="46" w:name="__RefHeading___Toc487876595"/>
      <w:bookmarkEnd w:id="46"/>
      <w:r>
        <w:rPr/>
        <w:t>Risk</w:t>
      </w:r>
    </w:p>
    <w:p>
      <w:pPr>
        <w:pStyle w:val="Normal"/>
        <w:rPr/>
      </w:pPr>
      <w:r>
        <w:rPr/>
      </w:r>
    </w:p>
    <w:p>
      <w:pPr>
        <w:pStyle w:val="Normal"/>
        <w:ind w:firstLine="720" w:end="0"/>
        <w:rPr/>
      </w:pPr>
      <w:r>
        <w:rPr/>
        <w:t>There are a number of risk sharing provisions in both the Post-Interim Settlement Agreement and the Comprehensive Settlement Agreement. The Post-Interim Settlement Agreement generally maintains the risk sharing adopted in the BCAP decision. While superficially similar, the Comprehensive Settlement Agreement functions to shift significant risk from the utility to its customers.</w:t>
      </w:r>
    </w:p>
    <w:p>
      <w:pPr>
        <w:pStyle w:val="Normal"/>
        <w:ind w:firstLine="720" w:end="0"/>
        <w:rPr/>
      </w:pPr>
      <w:r>
        <w:rPr/>
        <w:t>The Post-Interim Settlement Agreement and the Comprehensive Settlement Agreement both place SoCalGas entirely at risk for unused storage assets by eliminating the Noncore Storage Balancing Account (“NSBA”), although the Comprehensive Settlement Agreement accomplishes this change in April 2003, while the Post-Interim Settlement Agreement implements it in January 2003. The Post-Interim Settlement Agreement, however, limits SoCalGas’ pricing flexibility by maintaining a cap on prices which is equal to the ceiling reservation currently specified in SoCalGas Schedule G-TBS tariff. The Comprehensive Settlement Agreement, on the other hand, provides unlimited pricing flexibility. The continuation of some price cap, albeit a very liberal one, is more in line with the Commission’s conclusion in R.98-01-011 that SoCalGas should not be granted unlimited pricing flexibility in the absence of meaningful storage competition.  D.99-07-015, mimeo. at 23. Indeed, the combination of separate balancing, fewer balancing assets and separate hub services together with unlimited pricing flexibility spells disaster for customers and huge profits (no longer subject to PBR sharing?!) for the utility.</w:t>
      </w:r>
    </w:p>
    <w:p>
      <w:pPr>
        <w:pStyle w:val="Normal"/>
        <w:ind w:firstLine="720" w:end="0"/>
        <w:rPr/>
      </w:pPr>
      <w:r>
        <w:rPr/>
        <w:t>The Comprehensive Settlement Agreement also reduces SoCalGas’ risk for unbundled storage by maintaining the cost of the Montebello field in the distribution LRMC scaler.  As discussed previously, such treatment insulates SoCalGas entirely by making core ratepayers pay 95% of Montebello costs.</w:t>
      </w:r>
    </w:p>
    <w:p>
      <w:pPr>
        <w:pStyle w:val="Normal"/>
        <w:ind w:firstLine="720" w:end="0"/>
        <w:rPr/>
      </w:pPr>
      <w:r>
        <w:rPr/>
        <w:t>The Post-Interim Settlement Agreement alters the allocation of cost recovery for interstate capacity not reserved for core customers by placing SoCalGas at risk for 25% of ITCS recovery. Such a risk sharing provision should provide motivation for SoCalGas to optimize capacity brokering.</w:t>
      </w:r>
    </w:p>
    <w:p>
      <w:pPr>
        <w:pStyle w:val="Normal"/>
        <w:ind w:firstLine="720" w:end="0"/>
        <w:rPr/>
      </w:pPr>
      <w:r>
        <w:rPr/>
        <w:t>Lastly, but most importantly, the Comprehensive Settlement Agreement fundamentally limits SoCalGas’ exposure to its theoretical risk for 100% of backbone transmission by instituting a demand charge rate structure.  As explained in detail by witness Catherine Yap, the demand charge rate structure limits SoCalGas’ risk exposure, and even allows for the distinct possibility that SoCalGas will collect more than the embedded cost of transmission.  (Exh. 102, p. 19, Yap.) Again, any such excess revenues will flow directly to shareholders outside the PBR process.</w:t>
      </w:r>
    </w:p>
    <w:p>
      <w:pPr>
        <w:pStyle w:val="Heading2"/>
        <w:ind w:hanging="0" w:start="0"/>
        <w:rPr/>
      </w:pPr>
      <w:bookmarkStart w:id="47" w:name="__RefHeading___Toc487876596"/>
      <w:bookmarkEnd w:id="47"/>
      <w:r>
        <w:rPr/>
        <w:t>revenues, Fees and implementation costs</w:t>
      </w:r>
    </w:p>
    <w:p>
      <w:pPr>
        <w:pStyle w:val="Normal"/>
        <w:rPr/>
      </w:pPr>
      <w:r>
        <w:rPr/>
      </w:r>
    </w:p>
    <w:p>
      <w:pPr>
        <w:pStyle w:val="Normal"/>
        <w:ind w:firstLine="720" w:end="0"/>
        <w:rPr/>
      </w:pPr>
      <w:r>
        <w:rPr/>
        <w:t>In addition to insulating SoCalGas from the risk it would normally incur under system unbundling, the Comprehensive Settlement Agreement adopts a number of features designed to maximize utility revenues.  First, all revenues collected from sale of unbundled storage and transmission assets will flow directly to shareholders outside of the PBR process. (e.g., Exh. 19, p. 1, Lorenz.) The embedded cost of these assets will be escalated annually.</w:t>
      </w:r>
    </w:p>
    <w:p>
      <w:pPr>
        <w:pStyle w:val="Normal"/>
        <w:ind w:firstLine="720" w:end="0"/>
        <w:rPr/>
      </w:pPr>
      <w:r>
        <w:rPr/>
        <w:t>The Comprehensive Settlement Agreement also allows SoCalGas to collect a number of fees for services related to pooling and imbalance trading. In theory, the Comprehensive Settlement Agreement allows SoCalGas to recover $2.0 million annually in implementation costs for the capacity sections.  (CSA, §1.6.)  However, SoCalGas can keep any fees to cover implementation costs if such costs go beyond $2.0 million.  This is a direct invitation for SoCalGas to incur as much in costs as it can possibly cover with fees.  In contrast, the Post-Interim Settlement Agreement caps all implementation costs at $3.5 million. (PSA, §VII.)</w:t>
      </w:r>
    </w:p>
    <w:p>
      <w:pPr>
        <w:pStyle w:val="Heading2"/>
        <w:ind w:hanging="0" w:start="0"/>
        <w:rPr/>
      </w:pPr>
      <w:bookmarkStart w:id="48" w:name="__RefHeading___Toc487876597"/>
      <w:bookmarkEnd w:id="48"/>
      <w:r>
        <w:rPr/>
        <w:t>Hub Services and revenues</w:t>
      </w:r>
    </w:p>
    <w:p>
      <w:pPr>
        <w:pStyle w:val="Normal"/>
        <w:rPr/>
      </w:pPr>
      <w:r>
        <w:rPr/>
      </w:r>
    </w:p>
    <w:p>
      <w:pPr>
        <w:pStyle w:val="Normal"/>
        <w:ind w:firstLine="720" w:end="0"/>
        <w:rPr/>
      </w:pPr>
      <w:r>
        <w:rPr/>
        <w:t>The Comprehensive Settlement Agreement shifts money currently shared between core ratepayers and shareholders directly to shareholders. SoCalGas provides interruptible parking, loaning, and wheeling gas services, which are known as “hub” services.  Currently, revenues from these hub services are shared between core ratepayers and SoCalGas’ shareholders through the Gas Cost Incentive Mechanism (“GCIM”).  Hub revenues have recently increased significantly in size, with the hub revenues in the last GCIM period amounting to about $7.1 million, in contrast to the cumulative $5.4 million for the previous four GCIM periods.  D.99-07-015, slip op. at 48, ftnt. 10. (Exh.4, p. 17, Pocta.)  The changes contemplated by the Comprehensive Settlement Agreement would spur even greater use of hub services.  The Comprehensive Settlement Agreement would restrict core hub services to those services that solely use core assets and allow SoCalGas Operations to provide competing hub services. (CSA, § 4.1.3.) SoCalGas would be able to use unutilized storage assets on its system to provide hub services.  Hub rates would be uncapped completely by April 1, 2003.  All revenues from these hub services would flow to the shareholders.</w:t>
      </w:r>
    </w:p>
    <w:p>
      <w:pPr>
        <w:pStyle w:val="Normal"/>
        <w:ind w:firstLine="720" w:end="0"/>
        <w:rPr/>
      </w:pPr>
      <w:r>
        <w:rPr/>
        <w:t>The Post-Interim Settlement Agreement provides that prior to January 1, 2003 no changes are to be made to the “way the tariff language…applies transportation and storage rules to the SoCalGas Hub” and there was to be no “removal of Hub revenues from the SoCalGas Gas Cost Incentive Mechanism.” (ISA, § IX.)  Currently, SoCalGas shareholders get a share of the hub revenues through the GCIM, but the core benefits from these revenues as well.  Hub revenues should remain entirely in the GCIM, until at least 2003, consistent with the terms of the Post-Interim Settlement Agreement.  The Comprehensive Settlement Agreement proposal to create two hubs is simply an attempt to divert more funds from ratepayers to SoCalGas shareholders.</w:t>
      </w:r>
    </w:p>
    <w:p>
      <w:pPr>
        <w:pStyle w:val="Heading1"/>
        <w:ind w:hanging="0" w:start="0"/>
        <w:rPr/>
      </w:pPr>
      <w:bookmarkStart w:id="49" w:name="__RefHeading___Toc487876598"/>
      <w:bookmarkEnd w:id="49"/>
      <w:r>
        <w:rPr/>
        <w:t>summary of costs and benefits for core customers</w:t>
      </w:r>
    </w:p>
    <w:p>
      <w:pPr>
        <w:pStyle w:val="Normal"/>
        <w:rPr/>
      </w:pPr>
      <w:r>
        <w:rPr/>
      </w:r>
    </w:p>
    <w:p>
      <w:pPr>
        <w:pStyle w:val="Normal"/>
        <w:ind w:firstLine="720" w:end="0"/>
        <w:rPr/>
      </w:pPr>
      <w:r>
        <w:rPr/>
        <w:t>In the preceding sections TURN has argued that core customers will benefit primarily by adoption of those proposals common to both the Post-Interim Settlement Agreement and the Comprehensive Settlement Agreement.  TURN also shows that separate sections of the Post-Interim Settlement Agreement will benefit core customers. Certain changes unique to the Comprehensive Settlement Agreement will increase costs for core customers. It is highly likely that if any benefits are gained from the Comprehensive Settlement Agreement, those benefits will either accrue as profits to marketers or be dwarfed by increased transaction costs. The following sections summarize the balance of these costs and benefits.</w:t>
      </w:r>
    </w:p>
    <w:p>
      <w:pPr>
        <w:pStyle w:val="Heading2"/>
        <w:ind w:hanging="0" w:start="0"/>
        <w:rPr/>
      </w:pPr>
      <w:bookmarkStart w:id="50" w:name="__RefHeading___Toc487876599"/>
      <w:bookmarkEnd w:id="50"/>
      <w:r>
        <w:rPr/>
        <w:t>the Comprehensive Settlement Agreement will impose significant costs on retail core customers</w:t>
      </w:r>
    </w:p>
    <w:p>
      <w:pPr>
        <w:pStyle w:val="Normal"/>
        <w:rPr/>
      </w:pPr>
      <w:r>
        <w:rPr/>
      </w:r>
    </w:p>
    <w:p>
      <w:pPr>
        <w:pStyle w:val="Normal"/>
        <w:ind w:firstLine="720" w:end="0"/>
        <w:rPr/>
      </w:pPr>
      <w:r>
        <w:rPr/>
        <w:t>As demonstrated throughout this brief, there are several quantifiable costs which the Comprehensive Settlement Agreement will impose upon retail core customers.</w:t>
      </w:r>
      <w:r>
        <w:rPr>
          <w:rStyle w:val="FootnoteCharacters"/>
          <w:rStyle w:val="FootnoteReference"/>
        </w:rPr>
        <w:footnoteReference w:id="16"/>
      </w:r>
      <w:r>
        <w:rPr/>
        <w:t xml:space="preserve"> These costs are summarized in the table below, which shows that </w:t>
      </w:r>
      <w:r>
        <w:rPr>
          <w:u w:val="single"/>
        </w:rPr>
        <w:t>the directly quantifiable cost to retail core customers from adoption of the Comprehensive Settlement Agreement, as compared to the Post-Interim Settlement Agreement, is over $15 million per year</w:t>
      </w:r>
      <w:r>
        <w:rPr/>
        <w:t>.</w:t>
      </w:r>
      <w:r>
        <w:br w:type="page"/>
      </w:r>
    </w:p>
    <w:p>
      <w:pPr>
        <w:pStyle w:val="Normal"/>
        <w:ind w:firstLine="720" w:end="0"/>
        <w:rPr>
          <w:b/>
        </w:rPr>
      </w:pPr>
      <w:r>
        <w:rPr>
          <w:b/>
        </w:rPr>
        <w:t>Table 3:  Quantifiable costs of the CSA to retail core</w:t>
      </w:r>
    </w:p>
    <w:tbl>
      <w:tblPr>
        <w:tblW w:w="8856" w:type="dxa"/>
        <w:jc w:val="start"/>
        <w:tblInd w:w="0" w:type="dxa"/>
        <w:tblLayout w:type="fixed"/>
        <w:tblCellMar>
          <w:top w:w="0" w:type="dxa"/>
          <w:start w:w="108" w:type="dxa"/>
          <w:bottom w:w="0" w:type="dxa"/>
          <w:end w:w="108" w:type="dxa"/>
        </w:tblCellMar>
      </w:tblPr>
      <w:tblGrid>
        <w:gridCol w:w="1998"/>
        <w:gridCol w:w="4950"/>
        <w:gridCol w:w="1908"/>
      </w:tblGrid>
      <w:tr>
        <w:trPr/>
        <w:tc>
          <w:tcPr>
            <w:tcW w:w="1998" w:type="dxa"/>
            <w:tcBorders>
              <w:top w:val="single" w:sz="4" w:space="0" w:color="000000"/>
              <w:start w:val="single" w:sz="4" w:space="0" w:color="000000"/>
              <w:bottom w:val="single" w:sz="4" w:space="0" w:color="000000"/>
              <w:end w:val="single" w:sz="4" w:space="0" w:color="000000"/>
            </w:tcBorders>
          </w:tcPr>
          <w:p>
            <w:pPr>
              <w:pStyle w:val="Normal"/>
              <w:spacing w:lineRule="auto" w:line="240"/>
              <w:rPr>
                <w:b/>
              </w:rPr>
            </w:pPr>
            <w:r>
              <w:rPr>
                <w:b/>
              </w:rPr>
              <w:t>Cost</w:t>
            </w:r>
          </w:p>
        </w:tc>
        <w:tc>
          <w:tcPr>
            <w:tcW w:w="4950" w:type="dxa"/>
            <w:tcBorders>
              <w:top w:val="single" w:sz="4" w:space="0" w:color="000000"/>
              <w:start w:val="single" w:sz="4" w:space="0" w:color="000000"/>
              <w:bottom w:val="single" w:sz="4" w:space="0" w:color="000000"/>
              <w:end w:val="single" w:sz="4" w:space="0" w:color="000000"/>
            </w:tcBorders>
          </w:tcPr>
          <w:p>
            <w:pPr>
              <w:pStyle w:val="Heading1"/>
              <w:numPr>
                <w:ilvl w:val="0"/>
                <w:numId w:val="0"/>
              </w:numPr>
              <w:spacing w:before="0" w:after="0"/>
              <w:ind w:hanging="0" w:start="0"/>
              <w:rPr>
                <w:caps w:val="false"/>
                <w:smallCaps w:val="false"/>
              </w:rPr>
            </w:pPr>
            <w:r>
              <w:rPr>
                <w:caps w:val="false"/>
                <w:smallCaps w:val="false"/>
              </w:rPr>
              <w:t>Nature of Cost</w:t>
            </w:r>
          </w:p>
        </w:tc>
        <w:tc>
          <w:tcPr>
            <w:tcW w:w="1908" w:type="dxa"/>
            <w:tcBorders>
              <w:top w:val="single" w:sz="4" w:space="0" w:color="000000"/>
              <w:start w:val="single" w:sz="4" w:space="0" w:color="000000"/>
              <w:bottom w:val="single" w:sz="4" w:space="0" w:color="000000"/>
              <w:end w:val="single" w:sz="4" w:space="0" w:color="000000"/>
            </w:tcBorders>
          </w:tcPr>
          <w:p>
            <w:pPr>
              <w:pStyle w:val="Normal"/>
              <w:spacing w:lineRule="auto" w:line="240"/>
              <w:rPr>
                <w:b/>
              </w:rPr>
            </w:pPr>
            <w:r>
              <w:rPr>
                <w:b/>
              </w:rPr>
              <w:t>Estimated Annual Amount</w:t>
            </w:r>
          </w:p>
        </w:tc>
      </w:tr>
      <w:tr>
        <w:trPr/>
        <w:tc>
          <w:tcPr>
            <w:tcW w:w="1998" w:type="dxa"/>
            <w:tcBorders>
              <w:top w:val="single" w:sz="4" w:space="0" w:color="000000"/>
              <w:start w:val="single" w:sz="4" w:space="0" w:color="000000"/>
              <w:bottom w:val="single" w:sz="4" w:space="0" w:color="000000"/>
              <w:end w:val="single" w:sz="4" w:space="0" w:color="000000"/>
            </w:tcBorders>
          </w:tcPr>
          <w:p>
            <w:pPr>
              <w:pStyle w:val="Footer"/>
              <w:tabs>
                <w:tab w:val="clear" w:pos="4320"/>
                <w:tab w:val="clear" w:pos="8640"/>
              </w:tabs>
              <w:spacing w:lineRule="auto" w:line="240"/>
              <w:rPr/>
            </w:pPr>
            <w:r>
              <w:rPr/>
              <w:t>Unbundling Transmission on Embedded Cost</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 xml:space="preserve">Allocation to core higher than BCAP transmission allocation </w:t>
            </w:r>
          </w:p>
        </w:tc>
        <w:tc>
          <w:tcPr>
            <w:tcW w:w="190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$4.7 million</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Unbundling Storage on Embedded Cost</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Allocation to core lower than BCAP allocation</w:t>
            </w:r>
          </w:p>
        </w:tc>
        <w:tc>
          <w:tcPr>
            <w:tcW w:w="190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($5.2) million</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Less Storage Inventory</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Core allocated 15 Bcf less in storage inventory</w:t>
            </w:r>
          </w:p>
        </w:tc>
        <w:tc>
          <w:tcPr>
            <w:tcW w:w="190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$3.2 million</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Additional Transmission Capacity</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Purchases of additional transmission capacity assuming 120% interruptible rate and 1999 data for flowing supplies</w:t>
            </w:r>
          </w:p>
        </w:tc>
        <w:tc>
          <w:tcPr>
            <w:tcW w:w="190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$1.6 million</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Stranded Interstate Capacity</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Cost of purchasing additional 114 MMcf/d of additional intrastate capacity only during winter season to match interstate capacity reservation</w:t>
            </w:r>
          </w:p>
        </w:tc>
        <w:tc>
          <w:tcPr>
            <w:tcW w:w="190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$1.8 million</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Stranded Cost</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Retail core allocated 90% of interstate capacity stranded cost</w:t>
            </w:r>
          </w:p>
        </w:tc>
        <w:tc>
          <w:tcPr>
            <w:tcW w:w="190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$2.5 million</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Gas Commodity Cost</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Increased gas cost (based on 1999 data) due to inability to utilize more injection capacity</w:t>
            </w:r>
          </w:p>
        </w:tc>
        <w:tc>
          <w:tcPr>
            <w:tcW w:w="190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$5.6 million</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Montebello</w:t>
            </w:r>
          </w:p>
        </w:tc>
        <w:tc>
          <w:tcPr>
            <w:tcW w:w="4950"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Core pays 10% more for Montebello costs (approx. $15 annual revenue requirement)</w:t>
            </w:r>
          </w:p>
        </w:tc>
        <w:tc>
          <w:tcPr>
            <w:tcW w:w="1908" w:type="dxa"/>
            <w:tcBorders>
              <w:top w:val="single" w:sz="4" w:space="0" w:color="000000"/>
              <w:start w:val="single" w:sz="4" w:space="0" w:color="000000"/>
              <w:bottom w:val="single" w:sz="4" w:space="0" w:color="000000"/>
              <w:end w:val="single" w:sz="4" w:space="0" w:color="000000"/>
            </w:tcBorders>
          </w:tcPr>
          <w:p>
            <w:pPr>
              <w:pStyle w:val="Normal"/>
              <w:spacing w:lineRule="auto" w:line="240"/>
              <w:rPr/>
            </w:pPr>
            <w:r>
              <w:rPr/>
              <w:t>$1.5 million</w:t>
            </w:r>
          </w:p>
        </w:tc>
      </w:tr>
      <w:tr>
        <w:trPr/>
        <w:tc>
          <w:tcPr>
            <w:tcW w:w="1998" w:type="dxa"/>
            <w:tcBorders>
              <w:top w:val="single" w:sz="4" w:space="0" w:color="000000"/>
              <w:start w:val="single" w:sz="4" w:space="0" w:color="000000"/>
              <w:bottom w:val="single" w:sz="4" w:space="0" w:color="000000"/>
              <w:end w:val="single" w:sz="4" w:space="0" w:color="000000"/>
            </w:tcBorders>
          </w:tcPr>
          <w:p>
            <w:pPr>
              <w:pStyle w:val="Normal"/>
              <w:spacing w:lineRule="auto" w:line="240"/>
              <w:rPr>
                <w:b/>
              </w:rPr>
            </w:pPr>
            <w:r>
              <w:rPr>
                <w:b/>
              </w:rPr>
              <w:t>TOTAL</w:t>
            </w:r>
          </w:p>
        </w:tc>
        <w:tc>
          <w:tcPr>
            <w:tcW w:w="4950" w:type="dxa"/>
            <w:tcBorders>
              <w:top w:val="single" w:sz="4" w:space="0" w:color="000000"/>
              <w:start w:val="single" w:sz="4" w:space="0" w:color="000000"/>
              <w:bottom w:val="single" w:sz="4" w:space="0" w:color="000000"/>
              <w:end w:val="single" w:sz="4" w:space="0" w:color="000000"/>
            </w:tcBorders>
          </w:tcPr>
          <w:p>
            <w:pPr>
              <w:pStyle w:val="Normal"/>
              <w:snapToGrid w:val="false"/>
              <w:spacing w:lineRule="auto" w:line="240"/>
              <w:rPr>
                <w:b/>
              </w:rPr>
            </w:pPr>
            <w:r>
              <w:rPr>
                <w:b/>
              </w:rPr>
            </w:r>
          </w:p>
        </w:tc>
        <w:tc>
          <w:tcPr>
            <w:tcW w:w="1908" w:type="dxa"/>
            <w:tcBorders>
              <w:top w:val="single" w:sz="4" w:space="0" w:color="000000"/>
              <w:start w:val="single" w:sz="4" w:space="0" w:color="000000"/>
              <w:bottom w:val="single" w:sz="4" w:space="0" w:color="000000"/>
              <w:end w:val="single" w:sz="4" w:space="0" w:color="000000"/>
            </w:tcBorders>
          </w:tcPr>
          <w:p>
            <w:pPr>
              <w:pStyle w:val="Normal"/>
              <w:spacing w:lineRule="auto" w:line="240"/>
              <w:rPr>
                <w:b/>
              </w:rPr>
            </w:pPr>
            <w:r>
              <w:rPr>
                <w:b/>
              </w:rPr>
              <w:t>$15.7 million</w:t>
            </w:r>
          </w:p>
        </w:tc>
      </w:tr>
    </w:tbl>
    <w:p>
      <w:pPr>
        <w:pStyle w:val="Footer"/>
        <w:tabs>
          <w:tab w:val="clear" w:pos="4320"/>
          <w:tab w:val="clear" w:pos="8640"/>
        </w:tabs>
        <w:spacing w:lineRule="auto" w:line="240"/>
        <w:rPr/>
      </w:pPr>
      <w:r>
        <w:rPr/>
      </w:r>
    </w:p>
    <w:p>
      <w:pPr>
        <w:pStyle w:val="Normal"/>
        <w:rPr/>
      </w:pPr>
      <w:r>
        <w:rPr/>
      </w:r>
    </w:p>
    <w:p>
      <w:pPr>
        <w:pStyle w:val="Normal"/>
        <w:ind w:firstLine="720" w:end="0"/>
        <w:rPr/>
      </w:pPr>
      <w:r>
        <w:rPr/>
        <w:t>Admittedly, some of the costs described above are easier to estimate than others.  However, this table makes a number of conservative assumptions and does not account for less quantifiable costs.  The table assumes intrastate transmission costs will be limited to 120% of postage stamp rates (brokered firm capacity costs could be higher). It does not include the higher allocation of A&amp;G to core customers, possible costs due to demand charges, imbalance penalties and implementation costs.  The table also does not account for any of the intangible costs and risks imposed by the Comprehensive Settlement Agreement, such as the risk of future bypass of local transmission and distribution costs, which shifts fixed costs to core customers. Lastly, the table does not account for the transaction costs imposed on those core customers who join a core aggregator and need to rebundle some of the unbundled services.</w:t>
      </w:r>
    </w:p>
    <w:p>
      <w:pPr>
        <w:pStyle w:val="Normal"/>
        <w:rPr/>
      </w:pPr>
      <w:r>
        <w:rPr/>
        <w:tab/>
        <w:t>All in all, Mr. Florio best summarized the effects of the Comprehensive Settlement Agreement when he testified:</w:t>
      </w:r>
    </w:p>
    <w:p>
      <w:pPr>
        <w:pStyle w:val="Normal"/>
        <w:rPr/>
      </w:pPr>
      <w:r>
        <w:rPr/>
      </w:r>
    </w:p>
    <w:p>
      <w:pPr>
        <w:pStyle w:val="BodyTextIndent3"/>
        <w:rPr/>
      </w:pPr>
      <w:r>
        <w:rPr/>
        <w:t>The CSA is built on the backs of low load factor customers.  They lose.  High load factor customers are left substantially indifferent. The winners are SoCalGas shareholders, marketers, and an odd lot of CSA signatories, such as Calpine, Southern California Edison Company and GreenMountain, that take little or no service from the SoCalGas system.</w:t>
      </w:r>
    </w:p>
    <w:p>
      <w:pPr>
        <w:pStyle w:val="Normal"/>
        <w:ind w:start="720" w:end="0"/>
        <w:rPr/>
      </w:pPr>
      <w:r>
        <w:rPr/>
      </w:r>
    </w:p>
    <w:p>
      <w:pPr>
        <w:pStyle w:val="Normal"/>
        <w:ind w:firstLine="720" w:end="0"/>
        <w:rPr/>
      </w:pPr>
      <w:r>
        <w:rPr/>
        <w:t>(Exh. 102, p. 5, ll. 23-27.)</w:t>
      </w:r>
    </w:p>
    <w:p>
      <w:pPr>
        <w:pStyle w:val="Heading2"/>
        <w:ind w:hanging="0" w:start="0"/>
        <w:rPr/>
      </w:pPr>
      <w:bookmarkStart w:id="51" w:name="__RefHeading___Toc487876601"/>
      <w:r>
        <w:rPr/>
        <w:t>Any other “benefits” of the Comprehensive Settlement Agreement are highly speculative</w:t>
      </w:r>
      <w:bookmarkEnd w:id="51"/>
      <w:r>
        <w:rPr/>
        <w:t xml:space="preserve"> </w:t>
      </w:r>
    </w:p>
    <w:p>
      <w:pPr>
        <w:pStyle w:val="Normal"/>
        <w:rPr/>
      </w:pPr>
      <w:r>
        <w:rPr/>
      </w:r>
    </w:p>
    <w:p>
      <w:pPr>
        <w:pStyle w:val="Normal"/>
        <w:ind w:firstLine="720" w:end="0"/>
        <w:rPr/>
      </w:pPr>
      <w:r>
        <w:rPr/>
        <w:t>Proponents of the Comprehensive Settlement Agreement tout its benefits for all customers, and specifically for core customers. It is important to clarify just what those parties mean when they talk about “benefits,” since they use the term to refer to at least three distinct matters. Upon closer inspection, it becomes apparent that the purported “benefits” to core customers are either highly speculative or benefits only for those core customers who select service with a core aggregator, thus becoming core transport customers. The costs of the Comprehensive Settlement Agreement include stranded cost responsibility from unbundling of interstate pipeline capacity, potential risk of higher intrastate transmission costs, and the risk of future stranded costs. On balance, especially for the residential core customer, the Comprehensive Settlement Agreement represents a bad deal where costs outweigh potential benefits</w:t>
      </w:r>
    </w:p>
    <w:p>
      <w:pPr>
        <w:pStyle w:val="Normal"/>
        <w:ind w:firstLine="720" w:end="0"/>
        <w:rPr/>
      </w:pPr>
      <w:r>
        <w:rPr/>
        <w:t>The term “benefits” sometimes refers to what one generally thinks of as the financial benefits of unbundling – the potential reduced costs if customers can avoid unnecessary services or obtain them at a lower cost from non-utility competitors. This is the manner in which Mr. Counihan speaks of the potential benefits due to credits for rejecting unbundled storage for CAT marketers. Such benefits can accrue only to those customers who become core transport customers by subscribing to a core aggregator. Assuming a 10% CAT market penetration, the maximum total potential savings – assuming no replacement of resources – would be 20-30 cents per decatherm.</w:t>
      </w:r>
      <w:r>
        <w:rPr>
          <w:rStyle w:val="FootnoteCharacters"/>
          <w:rStyle w:val="FootnoteReference"/>
        </w:rPr>
        <w:footnoteReference w:id="17"/>
      </w:r>
    </w:p>
    <w:p>
      <w:pPr>
        <w:pStyle w:val="Normal"/>
        <w:ind w:firstLine="720" w:end="0"/>
        <w:rPr/>
      </w:pPr>
      <w:r>
        <w:rPr/>
        <w:t>However, even for those core transport customers there is no guarantee of benefits.  Firstly, there is no guarantee that any potential cost savings would be passed on to the retail customer. While one would think that a core customer might become a core transport customer to reap financial savings, the experience from other industries (e.g. telephone) indicates that numerous marketing ploys could attract customers. Residential customers in particular would have difficulty comparing the relative cost of bundled utility service versus an alternative package, especially since there is no requirement to post the utility procurement price.</w:t>
      </w:r>
    </w:p>
    <w:p>
      <w:pPr>
        <w:pStyle w:val="Normal"/>
        <w:ind w:firstLine="720" w:end="0"/>
        <w:rPr/>
      </w:pPr>
      <w:r>
        <w:rPr/>
        <w:t>Second, there is a good possibility that a core procurement customer would pay the same, or higher, price for repackaging of the same services available from the utility. Most core customers require the storage and balancing services associated with bundled core service. Some commercial customers who have a higher load profile and could potentially avoid some balancing costs, but as detailed in Section IV.C above, such gains are rather modest. The testimony in R.98-01-011 indicated that there is little in the way of added value to be gained from the basic utility bundled services, and that marketers might attract customers primarily by offering additional value-added services on top of the regulated gas and/or electric service. All this means that the financial benefits of the Comprehensive Settlement Agreement will be small and will generally accrue to certain commercial customers.</w:t>
      </w:r>
    </w:p>
    <w:p>
      <w:pPr>
        <w:pStyle w:val="Normal"/>
        <w:ind w:firstLine="720" w:end="0"/>
        <w:rPr/>
      </w:pPr>
      <w:r>
        <w:rPr/>
        <w:t xml:space="preserve">Oftentimes, proponents of the Comprehensive Settlement Agreement speak of benefits for all core customers when referring to the potential financial savings It is critical to remember that, despite some parties’ insistence that this is a benefit to all core customers, that this financial benefit accrues only to core transport customers. At best, it represents an </w:t>
      </w:r>
      <w:r>
        <w:rPr>
          <w:u w:val="single"/>
        </w:rPr>
        <w:t>opportunity</w:t>
      </w:r>
      <w:r>
        <w:rPr/>
        <w:t xml:space="preserve"> for core procurement customers to participate in the core aggregation program and have the potential to gain the financial benefits.</w:t>
      </w:r>
    </w:p>
    <w:p>
      <w:pPr>
        <w:pStyle w:val="Normal"/>
        <w:ind w:firstLine="720" w:end="0"/>
        <w:rPr/>
      </w:pPr>
      <w:r>
        <w:rPr/>
        <w:t xml:space="preserve">The second use of the term “benefits” was to refer to potential financial benefits for core retail customers associated with the terms of the Comprehensive Settlement Agreement. Mr. Lorenz identified several methods by which the core could reap financial benefits, primarily by trading reserved core assets on the secondary market. (RT 406, ll. 5-15.) Mr. Lorenz also mentions the benefit of the 290 MMcf/d reservation of core capacity at Topock. </w:t>
      </w:r>
    </w:p>
    <w:p>
      <w:pPr>
        <w:pStyle w:val="Normal"/>
        <w:ind w:firstLine="720" w:end="0"/>
        <w:rPr/>
      </w:pPr>
      <w:r>
        <w:rPr/>
        <w:t>While it is impossible to quantify this potential benefit, it is important to note that when trading assets on the secondary market, the core will be in direct competition with Gas Operations, which can sell interruptible capacity and unbundled storage assets.  ORA witness Pocta is hopeful that “we can design a gas cost incentive” mechanism that would mitigate this conflict.  However, considering that SoCalGas will be 100% at risk for transmission revenues and 100% at risk for unbundled storage after March 2003, there is a strong potential that benefits of secondary market trading will be minimal.</w:t>
      </w:r>
    </w:p>
    <w:p>
      <w:pPr>
        <w:pStyle w:val="Normal"/>
        <w:ind w:firstLine="720" w:end="0"/>
        <w:rPr/>
      </w:pPr>
      <w:r>
        <w:rPr/>
        <w:t>Indeed, the core will undoubtedly need to purchase extra transmission capacity through citygate gas purchases. Again, while ORA envisions these costs “being accounted for in some manner through the GCIM mechanism and part of the incentive mechanism” (RT 950, ll. 9-20, Pocta), it is also quite possible that the core will pay higher costs as a result of the need to rely on marketer-controlled transmission. The core may also need to purchase additional storage injection due to the need to self-balance.</w:t>
      </w:r>
    </w:p>
    <w:p>
      <w:pPr>
        <w:pStyle w:val="Heading2"/>
        <w:ind w:hanging="0" w:start="0"/>
        <w:rPr/>
      </w:pPr>
      <w:bookmarkStart w:id="52" w:name="__RefHeading___Toc487876602"/>
      <w:bookmarkEnd w:id="52"/>
      <w:r>
        <w:rPr/>
        <w:t>The Post-Interim Settlement Agreement adopts all the changes that provide customer benefits</w:t>
      </w:r>
    </w:p>
    <w:p>
      <w:pPr>
        <w:pStyle w:val="Footer"/>
        <w:tabs>
          <w:tab w:val="clear" w:pos="4320"/>
          <w:tab w:val="clear" w:pos="8640"/>
        </w:tabs>
        <w:rPr/>
      </w:pPr>
      <w:r>
        <w:rPr/>
      </w:r>
    </w:p>
    <w:p>
      <w:pPr>
        <w:pStyle w:val="BodyTextIndent"/>
        <w:rPr/>
      </w:pPr>
      <w:r>
        <w:rPr/>
        <w:t>The Post-Interim Settlement Agreement provides a springboard for implementing changes which almost all parties agree will be beneficial, and requests that the Commission wait to see the results of several new operating and structural changes before deciding on more risky structural adjustments.  In particular, the Post-Interim Settlement Agreement will implement the following changes and result in the benefits described below (the sections are identified as part of the ISA or the PSA for ease of reference):</w:t>
      </w:r>
    </w:p>
    <w:p>
      <w:pPr>
        <w:pStyle w:val="ListBullet2"/>
        <w:numPr>
          <w:ilvl w:val="0"/>
          <w:numId w:val="2"/>
        </w:numPr>
        <w:spacing w:lineRule="auto" w:line="240"/>
        <w:ind w:hanging="0" w:start="0"/>
        <w:rPr>
          <w:rFonts w:ascii="Arial" w:hAnsi="Arial" w:cs="Arial"/>
        </w:rPr>
      </w:pPr>
      <w:r>
        <w:rPr>
          <w:rFonts w:cs="Arial" w:ascii="Arial" w:hAnsi="Arial"/>
        </w:rPr>
        <w:t>The ISA eliminates SoCalGas' current "windowing" process, enhancing the ability of shippers to nominate or change nominations for gas deliveries among the various receipt points on the SoCalGas system.</w:t>
      </w:r>
    </w:p>
    <w:p>
      <w:pPr>
        <w:pStyle w:val="ListBullet2"/>
        <w:numPr>
          <w:ilvl w:val="0"/>
          <w:numId w:val="0"/>
        </w:numPr>
        <w:spacing w:lineRule="auto" w:line="240"/>
        <w:ind w:hanging="0" w:start="360" w:end="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 xml:space="preserve">The ISA establishes Hector Road as a formal receipt point on SoCalGas' system for which nominations may be made.  </w:t>
      </w:r>
    </w:p>
    <w:p>
      <w:pPr>
        <w:pStyle w:val="ListBullet2"/>
        <w:numPr>
          <w:ilvl w:val="0"/>
          <w:numId w:val="0"/>
        </w:numPr>
        <w:spacing w:lineRule="auto" w:line="240"/>
        <w:ind w:hanging="0" w:start="360" w:end="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 xml:space="preserve">The ISA provides a mechanism that will trigger additional investment by SoCalGas to increase capacity to receive gas at the Wheeler Ridge receipt point if criteria are satisfied.  </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The ISA provides for Operational Flow Order ("OFO") procedures, which are necessary to accommodate the elimination of the windowing process, but also provides for a Forum to revise OFO procedures if the frequency of OFOs exceeds the stated threshold.</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 xml:space="preserve">The ISA provides for the establishment of pools of transportation gas on the SoCalGas system, which gives rise to an entirely new intrastate gas market for trading gas supplies in Southern California.  </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The ISA establishes parity among all customers, including SoCalGas' Gas Acquisition Department by subjecting the Gas Acquisition Department to the same balancing rules and penalties as all other shippers on the SoCalGas system.</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Consistent with establishing parity among all customers including the Gas Acquisition Department, the ISA provides that the Gas Acquisition Department will no longer buy or sell imbalances that transportation customers incur outside of their applicable tolerance levels.</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 xml:space="preserve">The ISA liberalizes the trading of imbalances for all customers, including the Gas Acquisition Department.  </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The ISA gives storage customers the right to assign and reassign their storage contracts in a secondary market, including for terms less than the full contract terms.</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 xml:space="preserve">The ISA provides for SoCalGas to establish a voluntary Electronic Bulletin Board ("EBB") to facilitate secondary trading of storage contracts on the SoCalGas system.  </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 xml:space="preserve">The ISA permits core aggregators to accept or decline an assignment of storage capacity "nonreliability", thereby providing CTAs with a margin that they can share with their customers.  </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 xml:space="preserve">The ISA permits SoCalGas to recover the capital costs of implementing the Interim Settlement, but limits the capitalized cost to $3.5 million.  </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 xml:space="preserve">The ISA provides three options for wholesale customers to pursue in managing their storage resources.  </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 xml:space="preserve">The ISA maintains the 1999 BCAP allocation of storage resources to the balancing function, thereby avoiding a reduction in balancing capability when SoCalGas is shifting from windowing to a new OFO regime.  </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The PSA prohibits intrastate "backbone" transmission unbundling for the term of the settlement agreement, i.e., until September 1, 2006, thereby preventing the creation transmission bottlenecks and demand charges for the term of the agreement.</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 xml:space="preserve">The PSA maintains the allocation of noncore revenue risk that was only recently adopted in the 1999 SoCalGas Biennial Cost Allocation Proceeding.  </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 xml:space="preserve">The PSA eliminates any allocation of Interstate Transition Costs Surcharge costs to core customers.  </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 xml:space="preserve">The PSA gives SoCalGas an incentive to be diligent in selling stranded interstate pipeline capacity by imposing 25 percent of the cost on SoCalGas shareholders.  </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 xml:space="preserve">The PSA provides unbundling of interstate pipeline capacity associated with service to CAT customers, but assures that the responsibility for any resulting stranded costs shall be allocated primarily to customers who receive the most direct benefits of the unbundling.  </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 xml:space="preserve">The PSA eliminates customer risk for the cost of unbundled storage assets, effective January 1, 2003.  </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 xml:space="preserve">The PSA avoids any additional storage unbundling beyond that provided in the ISA for the term of the 1999 SoCalGas BCAP to allow the Commission and stakeholders some time to observe the effects of other reforms, such as the switch to OFOs.  </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 xml:space="preserve">The PSA requires that the costs associated with the Montebello storage field, 70 percent of which are currently borne by residential customers, shall be removed from rates effective September 1, 1999.  </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 xml:space="preserve">The PSA maintains the 1999 SoCalGas BCAP allocation of capacity to the storage balancing function for the term of the 1999 BCAP, thereby avoiding the loss of balancing capability while SoCalGas is switching from the windowing process to an OFO regime.  </w:t>
      </w:r>
    </w:p>
    <w:p>
      <w:pPr>
        <w:pStyle w:val="ListBullet2"/>
        <w:numPr>
          <w:ilvl w:val="0"/>
          <w:numId w:val="0"/>
        </w:numPr>
        <w:spacing w:lineRule="auto" w:line="240"/>
        <w:ind w:hanging="0" w:start="0"/>
        <w:rPr>
          <w:rFonts w:ascii="Arial" w:hAnsi="Arial" w:cs="Arial"/>
        </w:rPr>
      </w:pPr>
      <w:r>
        <w:rPr>
          <w:rFonts w:cs="Arial" w:ascii="Arial" w:hAnsi="Arial"/>
        </w:rPr>
      </w:r>
    </w:p>
    <w:p>
      <w:pPr>
        <w:pStyle w:val="ListBullet2"/>
        <w:numPr>
          <w:ilvl w:val="0"/>
          <w:numId w:val="2"/>
        </w:numPr>
        <w:spacing w:lineRule="auto" w:line="240"/>
        <w:ind w:hanging="0" w:start="0"/>
        <w:rPr>
          <w:rFonts w:ascii="Arial" w:hAnsi="Arial" w:cs="Arial"/>
        </w:rPr>
      </w:pPr>
      <w:r>
        <w:rPr>
          <w:rFonts w:cs="Arial" w:ascii="Arial" w:hAnsi="Arial"/>
        </w:rPr>
        <w:t xml:space="preserve">The PSA requires SoCalGas to file its next BCAP application no later than July 1, 2001 to insure that the Commission will have the full eighteen months permitted under the SB 960 rules and procedures for processing the application.  </w:t>
      </w:r>
    </w:p>
    <w:p>
      <w:pPr>
        <w:pStyle w:val="Normal"/>
        <w:ind w:firstLine="720" w:end="0"/>
        <w:rPr>
          <w:rFonts w:ascii="Arial" w:hAnsi="Arial" w:cs="Arial"/>
        </w:rPr>
      </w:pPr>
      <w:r>
        <w:rPr>
          <w:rFonts w:cs="Arial"/>
        </w:rPr>
      </w:r>
    </w:p>
    <w:p>
      <w:pPr>
        <w:pStyle w:val="Normal"/>
        <w:ind w:firstLine="720" w:end="0"/>
        <w:rPr/>
      </w:pPr>
      <w:r>
        <w:rPr/>
      </w:r>
    </w:p>
    <w:p>
      <w:pPr>
        <w:pStyle w:val="Normal"/>
        <w:ind w:firstLine="720" w:end="0"/>
        <w:rPr/>
      </w:pPr>
      <w:r>
        <w:rPr/>
        <w:t>TURN suggests that these changes and benefits will both assist customers as well as promote competition. The Post-Interim Settlement Agreement specifically allows for the Commission to revisit other changes, such as further storage unbundling and risk sharing, after expiration of the curent BCAP. Such an incremental approach will be serve a more rational and informed natural gas industry restructuring.</w:t>
      </w:r>
    </w:p>
    <w:p>
      <w:pPr>
        <w:pStyle w:val="Heading1"/>
        <w:ind w:hanging="0" w:start="0"/>
        <w:rPr/>
      </w:pPr>
      <w:bookmarkStart w:id="53" w:name="__RefHeading___Toc487876603"/>
      <w:bookmarkEnd w:id="53"/>
      <w:r>
        <w:rPr/>
        <w:t>Conclusion</w:t>
      </w:r>
    </w:p>
    <w:p>
      <w:pPr>
        <w:pStyle w:val="Normal"/>
        <w:rPr/>
      </w:pPr>
      <w:r>
        <w:rPr/>
      </w:r>
    </w:p>
    <w:p>
      <w:pPr>
        <w:pStyle w:val="Normal"/>
        <w:ind w:firstLine="720" w:end="0"/>
        <w:rPr/>
      </w:pPr>
      <w:r>
        <w:rPr/>
        <w:t>TURN respectfully recommends that the Commission reject the Comprehensive Settlement Agreement in its entirety and accept the Interim and Post-Interim Settlement Agreements in their entirety.</w:t>
      </w:r>
    </w:p>
    <w:p>
      <w:pPr>
        <w:pStyle w:val="Normal"/>
        <w:ind w:firstLine="720" w:end="0"/>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ab/>
        <w:tab/>
        <w:tab/>
        <w:tab/>
        <w:tab/>
        <w:t>Respectfully submitted,</w:t>
        <w:tab/>
        <w:tab/>
        <w:tab/>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ab/>
        <w:tab/>
        <w:tab/>
        <w:tab/>
        <w:tab/>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start="4320" w:end="0"/>
        <w:rPr/>
      </w:pPr>
      <w:r>
        <w:rPr/>
        <w:t>By:</w:t>
        <w:tab/>
        <w:t>________________________</w:t>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start="4320" w:end="0"/>
        <w:rPr/>
      </w:pPr>
      <w:r>
        <w:rPr/>
        <w:tab/>
        <w:t>Marcel Hawiger</w:t>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ind w:firstLine="720" w:start="4320" w:end="0"/>
        <w:rPr/>
      </w:pPr>
      <w:r>
        <w:rPr/>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ab/>
        <w:tab/>
        <w:tab/>
        <w:tab/>
        <w:tab/>
        <w:t>Marcel Hawiger, Staff Attorney</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ab/>
        <w:tab/>
        <w:tab/>
        <w:tab/>
        <w:tab/>
        <w:t>Michel Peter Florio, Senior Attorney</w:t>
      </w:r>
    </w:p>
    <w:p>
      <w:pPr>
        <w:pStyle w:val="Normal"/>
        <w:keepLines/>
        <w:tabs>
          <w:tab w:val="left" w:pos="0" w:leader="none"/>
          <w:tab w:val="left" w:pos="720" w:leader="none"/>
          <w:tab w:val="left" w:pos="1440" w:leader="none"/>
          <w:tab w:val="left" w:pos="2160" w:leader="none"/>
          <w:tab w:val="left" w:pos="2880" w:leader="none"/>
          <w:tab w:val="left" w:pos="360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ab/>
        <w:tab/>
        <w:tab/>
        <w:tab/>
        <w:tab/>
        <w:t>THE UTILITY REFORM NETWORK</w:t>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711 Van Ness Avenue, Suite 350</w:t>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San Francisco, CA 94102</w:t>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 xml:space="preserve">Phone: </w:t>
        <w:tab/>
        <w:t>(415) 929-8876</w:t>
      </w:r>
    </w:p>
    <w:p>
      <w:pPr>
        <w:pStyle w:val="Normal"/>
        <w:tabs>
          <w:tab w:val="clear" w:pos="720"/>
          <w:tab w:val="left" w:pos="0" w:leader="none"/>
          <w:tab w:val="left" w:pos="4320" w:leader="none"/>
          <w:tab w:val="left" w:pos="5040" w:leader="none"/>
          <w:tab w:val="left" w:pos="5760" w:leader="none"/>
          <w:tab w:val="left" w:pos="6480" w:leader="none"/>
          <w:tab w:val="left" w:pos="7200" w:leader="none"/>
          <w:tab w:val="left" w:pos="7920" w:leader="none"/>
          <w:tab w:val="left" w:pos="8640" w:leader="none"/>
        </w:tabs>
        <w:spacing w:lineRule="auto" w:line="240"/>
        <w:rPr/>
      </w:pPr>
      <w:r>
        <w:rPr/>
        <w:tab/>
        <w:t>Fax:</w:t>
        <w:tab/>
        <w:tab/>
        <w:t>(415) 929-1132</w:t>
      </w:r>
    </w:p>
    <w:p>
      <w:pPr>
        <w:pStyle w:val="Normal"/>
        <w:spacing w:lineRule="auto" w:line="240"/>
        <w:ind w:firstLine="720" w:end="0"/>
        <w:rPr/>
      </w:pPr>
      <w:r>
        <w:rPr/>
        <w:tab/>
        <w:tab/>
        <w:tab/>
        <w:tab/>
        <w:tab/>
        <w:t>Email:</w:t>
        <w:tab/>
        <w:tab/>
        <w:t>marcel@turn.org</w:t>
      </w:r>
    </w:p>
    <w:p>
      <w:pPr>
        <w:pStyle w:val="Normal"/>
        <w:spacing w:lineRule="auto" w:line="240"/>
        <w:rPr/>
      </w:pPr>
      <w:r>
        <w:rPr/>
        <w:t>Dated:</w:t>
        <w:tab/>
        <w:tab/>
        <w:t>July 10, 2000</w:t>
      </w:r>
    </w:p>
    <w:p>
      <w:pPr>
        <w:pStyle w:val="Normal"/>
        <w:rPr/>
      </w:pPr>
      <w:r>
        <w:rPr/>
      </w:r>
    </w:p>
    <w:p>
      <w:pPr>
        <w:sectPr>
          <w:footerReference w:type="default" r:id="rId2"/>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pStyle w:val="Normal"/>
        <w:rPr/>
      </w:pPr>
      <w:r>
        <w:rPr/>
      </w:r>
    </w:p>
    <w:p>
      <w:pPr>
        <w:pStyle w:val="Heading1"/>
        <w:numPr>
          <w:ilvl w:val="0"/>
          <w:numId w:val="0"/>
        </w:numPr>
        <w:spacing w:lineRule="auto" w:line="480" w:before="0" w:after="0"/>
        <w:ind w:hanging="0" w:start="0"/>
        <w:jc w:val="center"/>
        <w:rPr>
          <w:caps w:val="false"/>
          <w:smallCaps w:val="false"/>
        </w:rPr>
      </w:pPr>
      <w:bookmarkStart w:id="54" w:name="__RefHeading___Toc487876604"/>
      <w:bookmarkEnd w:id="54"/>
      <w:r>
        <w:rPr>
          <w:caps w:val="false"/>
          <w:smallCaps w:val="false"/>
        </w:rPr>
        <w:t>EXECUTIVE SUMMARY</w:t>
      </w:r>
    </w:p>
    <w:p>
      <w:pPr>
        <w:pStyle w:val="Normal"/>
        <w:rPr>
          <w:caps/>
        </w:rPr>
      </w:pPr>
      <w:r>
        <w:rPr>
          <w:caps/>
        </w:rPr>
      </w:r>
    </w:p>
    <w:p>
      <w:pPr>
        <w:pStyle w:val="Normal"/>
        <w:rPr/>
      </w:pPr>
      <w:r>
        <w:rPr/>
        <w:tab/>
        <w:t xml:space="preserve">This proceeding offers the Commission a choice between two distinct, though not so entirely different, visions of how to further restructure the provision of gas services by the Southern California Gas Company. One vision proposes rapid unbundling and restructuring to graft the “PG&amp;E model” onto the SoCalGas system. The other vision urges that certain operational changes, on which there is almost unanimous agreement, be implemented at once to promote system efficiency, but that other changes be delayed until system performance can be assessed. TURN urges the Commission to consider carefully the potential costs and benefits of the competing approaches.  TURN believes the Commission will find that the incremental approach offers the best method of improving system efficiency without increasing customer costs or jeopardizing the reliability of gas supplies, especially for electric generators. </w:t>
      </w:r>
    </w:p>
    <w:p>
      <w:pPr>
        <w:pStyle w:val="Normal"/>
        <w:ind w:firstLine="720" w:end="0"/>
        <w:rPr/>
      </w:pPr>
      <w:r>
        <w:rPr/>
        <w:t xml:space="preserve">Over the past fifteen years the California Public Utilities Commission has often led the country in adopting policies that restructured the natural gas industry so that noncore customers could take advantage of competitive options for certain services. In Rulemaking 98-01-011, the Commission asked parties for input on how to further restructure the gas industry to provide for more customer choice and to extend the benefits of competition to all customers. As a result of its initial investigation, the Commission issued a list of promising options in D.99-07-015 and asked parties to reach a settled outcome or to provide evidence concerning the costs and benefits of the various change options that should be included in a report to the Legislature.  </w:t>
      </w:r>
    </w:p>
    <w:p>
      <w:pPr>
        <w:pStyle w:val="Normal"/>
        <w:ind w:firstLine="720" w:end="0"/>
        <w:rPr/>
      </w:pPr>
      <w:r>
        <w:rPr/>
        <w:t>Issues related to further restructuring the PG&amp;E system were resolved in two unopposed settlements, which TURN joined, approved by the Commission in February and May of this year.  D.00-02-050 and D.00-05-049. The issue now before the Commission is how best to restructure the SoCalGas system. Signatories to the Comprehensive Settlement Agreement propose that the Commission unbundle intrastate transmission, storage and balancing services for noncore and core transport customers, allocate intrastate transmission through a three-stage open season process, and replace the windowing procedure with Operational Flow Orders. These parties also propose various “retail” changes, which unbundle interstate transmission and storage for core customers who select a core aggregator, and implement other changes to the existing Core Aggregation Transport program.</w:t>
      </w:r>
    </w:p>
    <w:p>
      <w:pPr>
        <w:pStyle w:val="Normal"/>
        <w:rPr/>
      </w:pPr>
      <w:r>
        <w:rPr/>
        <w:tab/>
        <w:t>TURN, Aglet and the Southern California Generation Coalition urge the Commission not to blindly implement a system which may hurt customers and impair electric reliability and, instead, to adopt the Post-Interim Settlement Agreement.  The Post-Interim Settlement Agreement also replaces windowing with OFOs, adopts changes to the unbundled storage program, allows more liberal trading of noncore imbalances, unbundles interstate capacity for core transport customers, and proposes certain other operational and risk-sharing changes.  Significantly, the Post-Interim Settlement Agreement rejects two specific changes proposed by the Comprehensive Settlement Agreement – it does not unbundle intrastate backbone transmission, and it does not unbundle balancing services and require separate balancing of core and noncore customer classes.</w:t>
      </w:r>
    </w:p>
    <w:p>
      <w:pPr>
        <w:pStyle w:val="Normal"/>
        <w:rPr/>
      </w:pPr>
      <w:r>
        <w:rPr/>
        <w:tab/>
        <w:t xml:space="preserve">On the most basic level, the main disagreement in this proceeding is whether unbundling backbone transmission and balancing will help customers or marketers. While this question has been dominated by rhetoric, some concrete factual disputes concerning the impact of proposed changes on customers have surfaced. There was evidence presented by both sides regarding the potential level and effect of instituting demand charges on low load factor customers. There was lively disagreement regarding the meaning of citygate prices on the PG&amp;E system. There was unchallenged evidence regarding the effects on asset use of instituting separate core and noncore balancing. And lastly, there is undisputed evidence regarding the impacts of the embedded cost allocation proposed by the Comprehensive Settlement Agreement and the allocation of stranded costs from the unbundling of core interstate capacity. </w:t>
      </w:r>
    </w:p>
    <w:p>
      <w:pPr>
        <w:pStyle w:val="Normal"/>
        <w:ind w:firstLine="720" w:end="0"/>
        <w:rPr/>
      </w:pPr>
      <w:r>
        <w:rPr/>
        <w:t>TURN urges the Commission to look beyond the rhetoric and to evaluate this evidence.  TURN believes that such an examination should convince the Commission that the Comprehensive Settlement Agreement will primarily benefit marketers, independent storage providers and SoCalGas, not end-use customers. Fundamentally, the hearings held in R.98-01-011 revealed that customers are not unhappy with the operation of the SoCalGas system, except for the problems associated with windowing and Hector Road. These two problems are resolved by the Post-Interim Settlement Agreement. The Comprehensive Settlement Agreement additionally attempts to graft a “Gas Accord” type-model onto SoCalGas. But SoCalGas has a much different transmission and storage system. The evidence indicates that imposing the “PG&amp;E model” wholesale on SoCalGas will harm customers.</w:t>
      </w:r>
    </w:p>
    <w:p>
      <w:pPr>
        <w:pStyle w:val="Normal"/>
        <w:ind w:firstLine="720" w:end="0"/>
        <w:rPr/>
      </w:pPr>
      <w:r>
        <w:rPr/>
        <w:t>Unbundling transmission with an open season process at a specified rate and a demand charge rate design does not allocate capacity based on value.  It shifts the risk of unsubscribed capacity from SoCalGas to customers who must pay a demand charge, and it allows marketers to corner valuable capacity and resell it at unregulated prices. Core customers will bear the risk of competing against marketers and SoCalGas in selling unneeded capacity in the secondary market in order to recoup demand charges during low-use periods, and of having to purchase capacity at citygate prices during higher use periods.</w:t>
      </w:r>
    </w:p>
    <w:p>
      <w:pPr>
        <w:pStyle w:val="Normal"/>
        <w:rPr/>
      </w:pPr>
      <w:r>
        <w:rPr/>
        <w:tab/>
        <w:t xml:space="preserve">Unbundling and separating balancing services will destroy the benefits of load diversity and system wide balancing currently enjoyed by all customers.  Separately, each customer class will have to match much more closely its gas use with its gas purchases or incur imbalance penalties. This requirement will simply push customers into the waiting arms of SoCalGas’ unbundled storage program or of potential future independent storage providers, both selling unregulated storage rates. </w:t>
      </w:r>
    </w:p>
    <w:p>
      <w:pPr>
        <w:pStyle w:val="Normal"/>
        <w:rPr/>
      </w:pPr>
      <w:r>
        <w:rPr/>
        <w:tab/>
        <w:t xml:space="preserve">Demand charges and separate balancing will increase costs especially for low load factor customers, including core ratepayers and electric generators. Given the current shortage of electricity supply, TURN suggests it is more prudent to institute the incremental operational changes of the Post-Interim Settlement Agreement than to adopt changes that could further jeopardize electric system reliability.  Additional changes can be implemented in three years after examining the effects of the Post-Interim Settlement Agreement, the new Sempra-wide electric generation rate, and the potential construction of new generation capacity. </w:t>
      </w:r>
    </w:p>
    <w:p>
      <w:pPr>
        <w:pStyle w:val="Normal"/>
        <w:ind w:firstLine="720" w:end="0"/>
        <w:rPr/>
      </w:pPr>
      <w:r>
        <w:rPr/>
        <w:t>In our opening brief, TURN focuses on the impacts of each settlement on core customers. While the Comprehensive Settlement Agreement supporters provide much rhetoric about the benefits to core customers, they freely admit that the primary benefits result from just two changes - eliminating the core ITCS contribution and unbundling core interstate capacity for core transport customers. However, these two changes are also implemented by the Post-Interim Settlement Agreement! Additionally, the Post-Interim Settlement Agreement distributes the stranded costs resulting from interstate capacity unbundling in a much more equitable fashion, while the Comprehensive Settlement Agreement subsidizes core aggregators on the backs of residential customers. In sum, the Comprehensive Settlement Agreement will impose at least an additional $15 million in quantifiable annual costs on retail core customers.</w:t>
      </w:r>
    </w:p>
    <w:p>
      <w:pPr>
        <w:pStyle w:val="Normal"/>
        <w:ind w:firstLine="720" w:end="0"/>
        <w:rPr/>
      </w:pPr>
      <w:r>
        <w:rPr/>
        <w:t>TURN urges the Commission to consider whose interests are best served by these two visions of restructuring. The incremental approach of the Post-Interim Settlement Agreement is sponsored by TURN, SCGC, and Aglet, who represent small core customers and large electric generators. The Comprehensive Settlement Agreement is promoted most vigorously by marketers and potential storage competitors.  While the utility and certain high load factor noncore customers have joined the Comprehensive Settlement Agreement, those parties also signed the Interim Settlement, which forms the fundamental framework for the Post-Interim Settlement Agreement. The Post-Interim Settlement Agreement will benefit end-use customers, while the immediate unbundling approach advocated by the Comprehensive Settlement Agreement will benefit marketers who profit from controlling unregulated transmission and storage assets.</w:t>
      </w:r>
    </w:p>
    <w:p>
      <w:pPr>
        <w:sectPr>
          <w:footerReference w:type="default" r:id="rId3"/>
          <w:footerReference w:type="first" r:id="rId4"/>
          <w:footnotePr>
            <w:numFmt w:val="decimal"/>
          </w:footnotePr>
          <w:type w:val="nextPage"/>
          <w:pgSz w:w="12240" w:h="15840"/>
          <w:pgMar w:left="1800" w:right="1800" w:gutter="0" w:header="0" w:top="1440" w:footer="720" w:bottom="1440"/>
          <w:pgNumType w:start="1" w:fmt="lowerRoman"/>
          <w:formProt w:val="false"/>
          <w:textDirection w:val="lrTb"/>
          <w:docGrid w:type="default" w:linePitch="360" w:charSpace="0"/>
        </w:sectPr>
        <w:pStyle w:val="Normal"/>
        <w:rPr/>
      </w:pPr>
      <w:r>
        <w:rPr/>
        <w:tab/>
        <w:t xml:space="preserve">Critics of the Post-Interim Settlement Agreement may charge that TURN is just afraid of change, afraid of embracing competition.  Frankly, TURN is happy to embrace any change that will benefit core customers, including the residential core.  But TURN sees no good reason to rush into change for the sake of theory.  TURN recommends that the Commission take a more moderate approach and allow the incremental changes of the Post-Interim Settlement Agreement to function through the end of 2002 before considering any more drastic changes. </w:t>
      </w:r>
    </w:p>
    <w:p>
      <w:pPr>
        <w:pStyle w:val="Normal"/>
        <w:jc w:val="center"/>
        <w:rPr>
          <w:b/>
        </w:rPr>
      </w:pPr>
      <w:r>
        <w:rPr>
          <w:b/>
        </w:rPr>
        <w:t>TABLE OF CONTENTS</w:t>
      </w:r>
    </w:p>
    <w:p>
      <w:pPr>
        <w:pStyle w:val="TOC1"/>
        <w:rPr>
          <w:b/>
        </w:rPr>
      </w:pPr>
      <w:r>
        <w:rPr>
          <w:b/>
        </w:rPr>
      </w:r>
    </w:p>
    <w:sdt>
      <w:sdtPr>
        <w:docPartObj>
          <w:docPartGallery w:val="Table of Contents"/>
          <w:docPartUnique w:val="true"/>
        </w:docPartObj>
      </w:sdtPr>
      <w:sdtContent>
        <w:p>
          <w:pPr>
            <w:pStyle w:val="TOC1"/>
            <w:rPr/>
          </w:pPr>
          <w:r>
            <w:fldChar w:fldCharType="begin"/>
          </w:r>
          <w:r>
            <w:rPr>
              <w:rFonts w:eastAsia="Arial"/>
            </w:rPr>
            <w:instrText xml:space="preserve"> TOC \o "1-4" </w:instrText>
          </w:r>
          <w:r>
            <w:rPr>
              <w:rFonts w:eastAsia="Arial"/>
            </w:rPr>
            <w:fldChar w:fldCharType="separate"/>
          </w:r>
          <w:r>
            <w:rPr>
              <w:rFonts w:eastAsia="Arial"/>
            </w:rPr>
            <w:t xml:space="preserve"> </w:t>
          </w:r>
          <w:r>
            <w:rPr/>
            <w:t>EXECUTIVE SUMMARY</w:t>
            <w:tab/>
          </w:r>
          <w:hyperlink w:anchor="__RefHeading___Toc487876604">
            <w:r>
              <w:rPr>
                <w:rStyle w:val="IndexLink"/>
              </w:rPr>
              <w:t>i</w:t>
            </w:r>
          </w:hyperlink>
        </w:p>
        <w:p>
          <w:pPr>
            <w:pStyle w:val="TOC1"/>
            <w:rPr/>
          </w:pPr>
          <w:r>
            <w:rPr/>
          </w:r>
        </w:p>
        <w:p>
          <w:pPr>
            <w:pStyle w:val="TOC1"/>
            <w:rPr/>
          </w:pPr>
          <w:r>
            <w:rPr/>
            <w:t>I.Introduction</w:t>
            <w:tab/>
          </w:r>
          <w:hyperlink w:anchor="__RefHeading___Toc487876549">
            <w:r>
              <w:rPr>
                <w:rStyle w:val="IndexLink"/>
              </w:rPr>
              <w:t>1</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A.</w:t>
            <w:tab/>
            <w:t>Procedural History</w:t>
            <w:tab/>
          </w:r>
          <w:hyperlink w:anchor="__RefHeading___Toc487876550">
            <w:r>
              <w:rPr>
                <w:rStyle w:val="IndexLink"/>
                <w:lang w:val="en-CA"/>
              </w:rPr>
              <w:t>1</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B.</w:t>
            <w:tab/>
            <w:t>Two Competing Visions Of The Future: Or, Who Gets The Money?</w:t>
            <w:tab/>
          </w:r>
          <w:hyperlink w:anchor="__RefHeading___Toc487876551">
            <w:r>
              <w:rPr>
                <w:rStyle w:val="IndexLink"/>
                <w:lang w:val="en-CA"/>
              </w:rPr>
              <w:t>2</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C.</w:t>
            <w:tab/>
            <w:t>Outline Of This Opening Brief</w:t>
            <w:tab/>
          </w:r>
          <w:hyperlink w:anchor="__RefHeading___Toc487876552">
            <w:r>
              <w:rPr>
                <w:rStyle w:val="IndexLink"/>
                <w:lang w:val="en-CA"/>
              </w:rPr>
              <w:t>6</w:t>
            </w:r>
          </w:hyperlink>
        </w:p>
        <w:p>
          <w:pPr>
            <w:pStyle w:val="TOC1"/>
            <w:rPr>
              <w:lang w:val="en-CA"/>
            </w:rPr>
          </w:pPr>
          <w:r>
            <w:rPr>
              <w:lang w:val="en-CA"/>
            </w:rPr>
          </w:r>
        </w:p>
        <w:p>
          <w:pPr>
            <w:pStyle w:val="TOC1"/>
            <w:rPr/>
          </w:pPr>
          <w:r>
            <w:rPr/>
            <w:t xml:space="preserve">II. </w:t>
            <w:tab/>
            <w:t>Both The Post-Interim Settlement Agreement And The Comprehensive Settlement Agreement Provide The Benefits Of Eliminating The Core ITCS And Unbundling Core Interstate Capacity</w:t>
            <w:tab/>
          </w:r>
          <w:hyperlink w:anchor="__RefHeading___Toc487876553">
            <w:r>
              <w:rPr>
                <w:rStyle w:val="IndexLink"/>
              </w:rPr>
              <w:t>8</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A.</w:t>
            <w:tab/>
            <w:t>Both The Post-Interim Settlement Agreement And The Comprehensive Settlement Agreement Eliminate The Core ITCS Contribution</w:t>
            <w:tab/>
          </w:r>
          <w:hyperlink w:anchor="__RefHeading___Toc487876554">
            <w:r>
              <w:rPr>
                <w:rStyle w:val="IndexLink"/>
                <w:lang w:val="en-CA"/>
              </w:rPr>
              <w:t>8</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B.</w:t>
            <w:tab/>
            <w:t>All Parties Agree That Unbundling Core Interstate Capacity Offers The Greatest Opportunity For Added Value For Core Transport Customers</w:t>
            <w:tab/>
          </w:r>
          <w:hyperlink w:anchor="__RefHeading___Toc487876555">
            <w:r>
              <w:rPr>
                <w:rStyle w:val="IndexLink"/>
                <w:lang w:val="en-CA"/>
              </w:rPr>
              <w:t>11</w:t>
            </w:r>
          </w:hyperlink>
        </w:p>
        <w:p>
          <w:pPr>
            <w:pStyle w:val="TOC3"/>
            <w:tabs>
              <w:tab w:val="clear" w:pos="720"/>
              <w:tab w:val="left" w:pos="960" w:leader="none"/>
              <w:tab w:val="right" w:pos="8630" w:leader="dot"/>
            </w:tabs>
            <w:spacing w:lineRule="auto" w:line="240"/>
            <w:rPr>
              <w:lang w:val="en-CA"/>
            </w:rPr>
          </w:pPr>
          <w:r>
            <w:rPr>
              <w:lang w:val="en-CA"/>
            </w:rPr>
          </w:r>
        </w:p>
        <w:p>
          <w:pPr>
            <w:pStyle w:val="TOC3"/>
            <w:tabs>
              <w:tab w:val="clear" w:pos="720"/>
              <w:tab w:val="left" w:pos="960" w:leader="none"/>
              <w:tab w:val="right" w:pos="8630" w:leader="dot"/>
            </w:tabs>
            <w:spacing w:lineRule="auto" w:line="240"/>
            <w:rPr>
              <w:lang w:val="en-CA"/>
            </w:rPr>
          </w:pPr>
          <w:r>
            <w:rPr>
              <w:lang w:val="en-CA"/>
            </w:rPr>
            <w:t>1.</w:t>
            <w:tab/>
            <w:t>There Is A Considerable Price Differential Between Bundled And Unbundled Interstate Pipeline Capacity</w:t>
            <w:tab/>
          </w:r>
          <w:hyperlink w:anchor="__RefHeading___Toc487876556">
            <w:r>
              <w:rPr>
                <w:rStyle w:val="IndexLink"/>
                <w:lang w:val="en-CA"/>
              </w:rPr>
              <w:t>12</w:t>
            </w:r>
          </w:hyperlink>
        </w:p>
        <w:p>
          <w:pPr>
            <w:pStyle w:val="TOC3"/>
            <w:tabs>
              <w:tab w:val="clear" w:pos="720"/>
              <w:tab w:val="left" w:pos="960" w:leader="none"/>
              <w:tab w:val="right" w:pos="8630" w:leader="dot"/>
            </w:tabs>
            <w:spacing w:lineRule="auto" w:line="240"/>
            <w:rPr>
              <w:lang w:val="en-CA"/>
            </w:rPr>
          </w:pPr>
          <w:r>
            <w:rPr>
              <w:lang w:val="en-CA"/>
            </w:rPr>
          </w:r>
        </w:p>
        <w:p>
          <w:pPr>
            <w:pStyle w:val="TOC3"/>
            <w:tabs>
              <w:tab w:val="clear" w:pos="720"/>
              <w:tab w:val="left" w:pos="960" w:leader="none"/>
              <w:tab w:val="right" w:pos="8630" w:leader="dot"/>
            </w:tabs>
            <w:spacing w:lineRule="auto" w:line="240"/>
            <w:rPr>
              <w:lang w:val="en-CA"/>
            </w:rPr>
          </w:pPr>
          <w:r>
            <w:rPr>
              <w:lang w:val="en-CA"/>
            </w:rPr>
            <w:t>2.</w:t>
            <w:tab/>
            <w:t>Indeed, Only The Unbundling Of Interstate Capacity Can Provide Significant Savings Or Value For Core Transport Customers</w:t>
            <w:tab/>
          </w:r>
          <w:hyperlink w:anchor="__RefHeading___Toc487876557">
            <w:r>
              <w:rPr>
                <w:rStyle w:val="IndexLink"/>
                <w:lang w:val="en-CA"/>
              </w:rPr>
              <w:t>13</w:t>
            </w:r>
          </w:hyperlink>
        </w:p>
        <w:p>
          <w:pPr>
            <w:pStyle w:val="TOC3"/>
            <w:tabs>
              <w:tab w:val="clear" w:pos="720"/>
              <w:tab w:val="left" w:pos="960" w:leader="none"/>
              <w:tab w:val="right" w:pos="8630" w:leader="dot"/>
            </w:tabs>
            <w:spacing w:lineRule="auto" w:line="240"/>
            <w:rPr>
              <w:lang w:val="en-CA"/>
            </w:rPr>
          </w:pPr>
          <w:r>
            <w:rPr>
              <w:lang w:val="en-CA"/>
            </w:rPr>
          </w:r>
        </w:p>
        <w:p>
          <w:pPr>
            <w:pStyle w:val="TOC3"/>
            <w:tabs>
              <w:tab w:val="clear" w:pos="720"/>
              <w:tab w:val="left" w:pos="960" w:leader="none"/>
              <w:tab w:val="right" w:pos="8630" w:leader="dot"/>
            </w:tabs>
            <w:spacing w:lineRule="auto" w:line="240"/>
            <w:rPr>
              <w:lang w:val="en-CA"/>
            </w:rPr>
          </w:pPr>
          <w:r>
            <w:rPr>
              <w:lang w:val="en-CA"/>
            </w:rPr>
            <w:t>3.</w:t>
            <w:tab/>
            <w:t>Participation Levels In The PG&amp;E CAT Program Demonstrate That Other Capacity Changes Are Unlikely To Provide Much Customer Value</w:t>
            <w:tab/>
          </w:r>
          <w:hyperlink w:anchor="__RefHeading___Toc487876558">
            <w:r>
              <w:rPr>
                <w:rStyle w:val="IndexLink"/>
                <w:lang w:val="en-CA"/>
              </w:rPr>
              <w:t>15</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C.</w:t>
            <w:tab/>
            <w:t>The Comprehensive Settlement Agreement Shifts Most Of The Stranded Interstate Capacity Costs To Those Retail Core Customers Who Do Not Receive Any Of The Benefits, While The Post-Interim Settlement Agreement More Equitably Balances The Interests Of All Core Customers</w:t>
            <w:tab/>
          </w:r>
          <w:hyperlink w:anchor="__RefHeading___Toc487876559">
            <w:r>
              <w:rPr>
                <w:rStyle w:val="IndexLink"/>
                <w:lang w:val="en-CA"/>
              </w:rPr>
              <w:t>17</w:t>
            </w:r>
          </w:hyperlink>
        </w:p>
        <w:p>
          <w:pPr>
            <w:pStyle w:val="TOC1"/>
            <w:rPr>
              <w:lang w:val="en-CA"/>
            </w:rPr>
          </w:pPr>
          <w:r>
            <w:rPr>
              <w:lang w:val="en-CA"/>
            </w:rPr>
          </w:r>
        </w:p>
        <w:p>
          <w:pPr>
            <w:pStyle w:val="TOC1"/>
            <w:rPr/>
          </w:pPr>
          <w:r>
            <w:rPr/>
            <w:t>III. Transmission</w:t>
            <w:tab/>
          </w:r>
          <w:hyperlink w:anchor="__RefHeading___Toc487876560">
            <w:r>
              <w:rPr>
                <w:rStyle w:val="IndexLink"/>
              </w:rPr>
              <w:t>22</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A.</w:t>
            <w:tab/>
            <w:t>There Is No Need For Intrastate Transmission Unbundling</w:t>
            <w:tab/>
          </w:r>
          <w:hyperlink w:anchor="__RefHeading___Toc487876561">
            <w:r>
              <w:rPr>
                <w:rStyle w:val="IndexLink"/>
                <w:lang w:val="en-CA"/>
              </w:rPr>
              <w:t>22</w:t>
            </w:r>
          </w:hyperlink>
        </w:p>
        <w:p>
          <w:pPr>
            <w:pStyle w:val="TOC3"/>
            <w:tabs>
              <w:tab w:val="clear" w:pos="720"/>
              <w:tab w:val="left" w:pos="960" w:leader="none"/>
              <w:tab w:val="right" w:pos="8630" w:leader="dot"/>
            </w:tabs>
            <w:spacing w:lineRule="auto" w:line="240"/>
            <w:rPr>
              <w:lang w:val="en-CA"/>
            </w:rPr>
          </w:pPr>
          <w:r>
            <w:rPr>
              <w:lang w:val="en-CA"/>
            </w:rPr>
          </w:r>
        </w:p>
        <w:p>
          <w:pPr>
            <w:pStyle w:val="TOC3"/>
            <w:tabs>
              <w:tab w:val="clear" w:pos="720"/>
              <w:tab w:val="left" w:pos="960" w:leader="none"/>
              <w:tab w:val="right" w:pos="8630" w:leader="dot"/>
            </w:tabs>
            <w:spacing w:lineRule="auto" w:line="240"/>
            <w:rPr>
              <w:lang w:val="en-CA"/>
            </w:rPr>
          </w:pPr>
          <w:r>
            <w:rPr>
              <w:lang w:val="en-CA"/>
            </w:rPr>
            <w:t>1.</w:t>
            <w:tab/>
            <w:t>The Post-Interim Settlement Agreement Resolves The Problems On The Socalgas System Identified In R.98-01-011</w:t>
            <w:tab/>
          </w:r>
          <w:hyperlink w:anchor="__RefHeading___Toc487876562">
            <w:r>
              <w:rPr>
                <w:rStyle w:val="IndexLink"/>
                <w:lang w:val="en-CA"/>
              </w:rPr>
              <w:t>22</w:t>
            </w:r>
          </w:hyperlink>
        </w:p>
        <w:p>
          <w:pPr>
            <w:pStyle w:val="TOC3"/>
            <w:tabs>
              <w:tab w:val="clear" w:pos="720"/>
              <w:tab w:val="left" w:pos="960" w:leader="none"/>
              <w:tab w:val="right" w:pos="8630" w:leader="dot"/>
            </w:tabs>
            <w:spacing w:lineRule="auto" w:line="240"/>
            <w:rPr>
              <w:lang w:val="en-CA"/>
            </w:rPr>
          </w:pPr>
          <w:r>
            <w:rPr>
              <w:lang w:val="en-CA"/>
            </w:rPr>
          </w:r>
        </w:p>
        <w:p>
          <w:pPr>
            <w:pStyle w:val="TOC3"/>
            <w:tabs>
              <w:tab w:val="clear" w:pos="720"/>
              <w:tab w:val="left" w:pos="960" w:leader="none"/>
              <w:tab w:val="right" w:pos="8630" w:leader="dot"/>
            </w:tabs>
            <w:spacing w:lineRule="auto" w:line="240"/>
            <w:rPr>
              <w:lang w:val="en-CA"/>
            </w:rPr>
          </w:pPr>
          <w:r>
            <w:rPr>
              <w:lang w:val="en-CA"/>
            </w:rPr>
            <w:t>2.</w:t>
            <w:tab/>
            <w:t>Imposing The “PG&amp;E Model” For The Sake Of Statewide Consistency Puts Theory Above Reality</w:t>
            <w:tab/>
          </w:r>
          <w:hyperlink w:anchor="__RefHeading___Toc487876563">
            <w:r>
              <w:rPr>
                <w:rStyle w:val="IndexLink"/>
                <w:lang w:val="en-CA"/>
              </w:rPr>
              <w:t>26</w:t>
            </w:r>
          </w:hyperlink>
        </w:p>
        <w:p>
          <w:pPr>
            <w:pStyle w:val="TOC4"/>
            <w:tabs>
              <w:tab w:val="clear" w:pos="720"/>
              <w:tab w:val="left" w:pos="960" w:leader="none"/>
              <w:tab w:val="right" w:pos="8630" w:leader="dot"/>
            </w:tabs>
            <w:spacing w:lineRule="auto" w:line="240"/>
            <w:rPr>
              <w:lang w:val="en-CA"/>
            </w:rPr>
          </w:pPr>
          <w:r>
            <w:rPr>
              <w:lang w:val="en-CA"/>
            </w:rPr>
          </w:r>
        </w:p>
        <w:p>
          <w:pPr>
            <w:pStyle w:val="TOC4"/>
            <w:tabs>
              <w:tab w:val="clear" w:pos="720"/>
              <w:tab w:val="left" w:pos="960" w:leader="none"/>
              <w:tab w:val="right" w:pos="8630" w:leader="dot"/>
            </w:tabs>
            <w:spacing w:lineRule="auto" w:line="240"/>
            <w:rPr>
              <w:lang w:val="en-CA"/>
            </w:rPr>
          </w:pPr>
          <w:r>
            <w:rPr>
              <w:lang w:val="en-CA"/>
            </w:rPr>
            <w:t>a)</w:t>
            <w:tab/>
            <w:t>The Settlement Dynamics And Circumstances Which Produced The Gas Accord Were Uniquely Different</w:t>
            <w:tab/>
          </w:r>
          <w:hyperlink w:anchor="__RefHeading___Toc487876564">
            <w:r>
              <w:rPr>
                <w:rStyle w:val="IndexLink"/>
                <w:lang w:val="en-CA"/>
              </w:rPr>
              <w:t>26</w:t>
            </w:r>
          </w:hyperlink>
        </w:p>
        <w:p>
          <w:pPr>
            <w:pStyle w:val="TOC4"/>
            <w:tabs>
              <w:tab w:val="clear" w:pos="720"/>
              <w:tab w:val="left" w:pos="1200" w:leader="none"/>
              <w:tab w:val="right" w:pos="8630" w:leader="dot"/>
            </w:tabs>
            <w:spacing w:lineRule="auto" w:line="240"/>
            <w:rPr>
              <w:lang w:val="en-CA"/>
            </w:rPr>
          </w:pPr>
          <w:r>
            <w:rPr>
              <w:lang w:val="en-CA"/>
            </w:rPr>
          </w:r>
        </w:p>
        <w:p>
          <w:pPr>
            <w:pStyle w:val="TOC4"/>
            <w:tabs>
              <w:tab w:val="clear" w:pos="720"/>
              <w:tab w:val="left" w:pos="1200" w:leader="none"/>
              <w:tab w:val="right" w:pos="8630" w:leader="dot"/>
            </w:tabs>
            <w:spacing w:lineRule="auto" w:line="240"/>
            <w:rPr>
              <w:lang w:val="en-CA"/>
            </w:rPr>
          </w:pPr>
          <w:r>
            <w:rPr>
              <w:lang w:val="en-CA"/>
            </w:rPr>
            <w:t>b)</w:t>
            <w:tab/>
            <w:t>There Is Substantial Evidence That The Gas Accord Model Has Mostly Benefited Marketers</w:t>
            <w:tab/>
          </w:r>
          <w:hyperlink w:anchor="__RefHeading___Toc487876565">
            <w:r>
              <w:rPr>
                <w:rStyle w:val="IndexLink"/>
                <w:lang w:val="en-CA"/>
              </w:rPr>
              <w:t>28</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B.</w:t>
            <w:tab/>
            <w:t>The Core Will Lose The System Flexibility It Currently Enjoys</w:t>
            <w:tab/>
          </w:r>
          <w:hyperlink w:anchor="__RefHeading___Toc487876566">
            <w:r>
              <w:rPr>
                <w:rStyle w:val="IndexLink"/>
                <w:lang w:val="en-CA"/>
              </w:rPr>
              <w:t>29</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C.</w:t>
            <w:tab/>
            <w:t>It Is Likely That The Core Will Pay More For Intrastate Transmission Under The Comprehensive Settlement Agreement</w:t>
            <w:tab/>
          </w:r>
          <w:hyperlink w:anchor="__RefHeading___Toc487876567">
            <w:r>
              <w:rPr>
                <w:rStyle w:val="IndexLink"/>
                <w:lang w:val="en-CA"/>
              </w:rPr>
              <w:t>30</w:t>
            </w:r>
          </w:hyperlink>
        </w:p>
        <w:p>
          <w:pPr>
            <w:pStyle w:val="TOC3"/>
            <w:tabs>
              <w:tab w:val="clear" w:pos="720"/>
              <w:tab w:val="left" w:pos="960" w:leader="none"/>
              <w:tab w:val="right" w:pos="8630" w:leader="dot"/>
            </w:tabs>
            <w:spacing w:lineRule="auto" w:line="240"/>
            <w:rPr>
              <w:lang w:val="en-CA"/>
            </w:rPr>
          </w:pPr>
          <w:r>
            <w:rPr>
              <w:lang w:val="en-CA"/>
            </w:rPr>
          </w:r>
        </w:p>
        <w:p>
          <w:pPr>
            <w:pStyle w:val="TOC3"/>
            <w:tabs>
              <w:tab w:val="clear" w:pos="720"/>
              <w:tab w:val="left" w:pos="960" w:leader="none"/>
              <w:tab w:val="right" w:pos="8630" w:leader="dot"/>
            </w:tabs>
            <w:spacing w:lineRule="auto" w:line="240"/>
            <w:rPr>
              <w:lang w:val="en-CA"/>
            </w:rPr>
          </w:pPr>
          <w:r>
            <w:rPr>
              <w:lang w:val="en-CA"/>
            </w:rPr>
            <w:t>1.</w:t>
            <w:tab/>
            <w:t>Demand Charges Create A Risk Of Higher Transmission Costs</w:t>
            <w:tab/>
          </w:r>
          <w:hyperlink w:anchor="__RefHeading___Toc487876568">
            <w:r>
              <w:rPr>
                <w:rStyle w:val="IndexLink"/>
                <w:lang w:val="en-CA"/>
              </w:rPr>
              <w:t>31</w:t>
            </w:r>
          </w:hyperlink>
        </w:p>
        <w:p>
          <w:pPr>
            <w:pStyle w:val="TOC3"/>
            <w:tabs>
              <w:tab w:val="clear" w:pos="720"/>
              <w:tab w:val="left" w:pos="960" w:leader="none"/>
              <w:tab w:val="right" w:pos="8630" w:leader="dot"/>
            </w:tabs>
            <w:spacing w:lineRule="auto" w:line="240"/>
            <w:rPr>
              <w:lang w:val="en-CA"/>
            </w:rPr>
          </w:pPr>
          <w:r>
            <w:rPr>
              <w:lang w:val="en-CA"/>
            </w:rPr>
          </w:r>
        </w:p>
        <w:p>
          <w:pPr>
            <w:pStyle w:val="TOC3"/>
            <w:tabs>
              <w:tab w:val="clear" w:pos="720"/>
              <w:tab w:val="left" w:pos="960" w:leader="none"/>
              <w:tab w:val="right" w:pos="8630" w:leader="dot"/>
            </w:tabs>
            <w:spacing w:lineRule="auto" w:line="240"/>
            <w:rPr>
              <w:lang w:val="en-CA"/>
            </w:rPr>
          </w:pPr>
          <w:r>
            <w:rPr>
              <w:lang w:val="en-CA"/>
            </w:rPr>
            <w:t>2.</w:t>
            <w:tab/>
            <w:t>Secondary Market Or Citygate Purchases May Be More Expensive</w:t>
            <w:tab/>
          </w:r>
          <w:hyperlink w:anchor="__RefHeading___Toc487876569">
            <w:r>
              <w:rPr>
                <w:rStyle w:val="IndexLink"/>
                <w:lang w:val="en-CA"/>
              </w:rPr>
              <w:t>32</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D.</w:t>
            <w:tab/>
            <w:t>The Mismatch Between Reserved Core Interstate And Intrastate Transmission Capacity Results In Stranded Core Assets</w:t>
            <w:tab/>
          </w:r>
          <w:hyperlink w:anchor="__RefHeading___Toc487876570">
            <w:r>
              <w:rPr>
                <w:rStyle w:val="IndexLink"/>
                <w:lang w:val="en-CA"/>
              </w:rPr>
              <w:t>36</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E.</w:t>
            <w:tab/>
            <w:t>The Core Faces The Risk Of Future Stranded Costs</w:t>
            <w:tab/>
          </w:r>
          <w:hyperlink w:anchor="__RefHeading___Toc487876571">
            <w:r>
              <w:rPr>
                <w:rStyle w:val="IndexLink"/>
                <w:lang w:val="en-CA"/>
              </w:rPr>
              <w:t>38</w:t>
            </w:r>
          </w:hyperlink>
        </w:p>
        <w:p>
          <w:pPr>
            <w:pStyle w:val="TOC3"/>
            <w:tabs>
              <w:tab w:val="clear" w:pos="720"/>
              <w:tab w:val="left" w:pos="960" w:leader="none"/>
              <w:tab w:val="right" w:pos="8630" w:leader="dot"/>
            </w:tabs>
            <w:spacing w:lineRule="auto" w:line="240"/>
            <w:rPr>
              <w:lang w:val="en-CA"/>
            </w:rPr>
          </w:pPr>
          <w:r>
            <w:rPr>
              <w:lang w:val="en-CA"/>
            </w:rPr>
          </w:r>
        </w:p>
        <w:p>
          <w:pPr>
            <w:pStyle w:val="TOC3"/>
            <w:tabs>
              <w:tab w:val="clear" w:pos="720"/>
              <w:tab w:val="left" w:pos="960" w:leader="none"/>
              <w:tab w:val="right" w:pos="8630" w:leader="dot"/>
            </w:tabs>
            <w:spacing w:lineRule="auto" w:line="240"/>
            <w:rPr>
              <w:lang w:val="en-CA"/>
            </w:rPr>
          </w:pPr>
          <w:r>
            <w:rPr>
              <w:lang w:val="en-CA"/>
            </w:rPr>
            <w:t>1.</w:t>
            <w:tab/>
            <w:t>Bypass Of Local Transmission And Distribution Costs Would Shift Fixed Costs To Captive Ratepayers</w:t>
            <w:tab/>
          </w:r>
          <w:hyperlink w:anchor="__RefHeading___Toc487876572">
            <w:r>
              <w:rPr>
                <w:rStyle w:val="IndexLink"/>
                <w:lang w:val="en-CA"/>
              </w:rPr>
              <w:t>39</w:t>
            </w:r>
          </w:hyperlink>
        </w:p>
        <w:p>
          <w:pPr>
            <w:pStyle w:val="TOC3"/>
            <w:tabs>
              <w:tab w:val="clear" w:pos="720"/>
              <w:tab w:val="left" w:pos="960" w:leader="none"/>
              <w:tab w:val="right" w:pos="8630" w:leader="dot"/>
            </w:tabs>
            <w:spacing w:lineRule="auto" w:line="240"/>
            <w:rPr>
              <w:lang w:val="en-CA"/>
            </w:rPr>
          </w:pPr>
          <w:r>
            <w:rPr>
              <w:lang w:val="en-CA"/>
            </w:rPr>
          </w:r>
        </w:p>
        <w:p>
          <w:pPr>
            <w:pStyle w:val="TOC3"/>
            <w:tabs>
              <w:tab w:val="clear" w:pos="720"/>
              <w:tab w:val="left" w:pos="960" w:leader="none"/>
              <w:tab w:val="right" w:pos="8630" w:leader="dot"/>
            </w:tabs>
            <w:spacing w:lineRule="auto" w:line="240"/>
            <w:rPr>
              <w:lang w:val="en-CA"/>
            </w:rPr>
          </w:pPr>
          <w:r>
            <w:rPr>
              <w:lang w:val="en-CA"/>
            </w:rPr>
            <w:t>2.</w:t>
            <w:tab/>
            <w:t>Unbundling Transmission And Storage Creates The Risk Of Future Stranded Costs</w:t>
            <w:tab/>
          </w:r>
          <w:hyperlink w:anchor="__RefHeading___Toc487876573">
            <w:r>
              <w:rPr>
                <w:rStyle w:val="IndexLink"/>
                <w:lang w:val="en-CA"/>
              </w:rPr>
              <w:t>40</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F.</w:t>
            <w:tab/>
            <w:t>The Open Season Method Proposed In The Comprehensive Settlement Agreement Is Not A “Value-Based” Methodology For Capacity Allocation And Creates A Significant Potential For Market Power Abuse</w:t>
            <w:tab/>
          </w:r>
          <w:hyperlink w:anchor="__RefHeading___Toc487876574">
            <w:r>
              <w:rPr>
                <w:rStyle w:val="IndexLink"/>
                <w:lang w:val="en-CA"/>
              </w:rPr>
              <w:t>41</w:t>
            </w:r>
          </w:hyperlink>
        </w:p>
        <w:p>
          <w:pPr>
            <w:pStyle w:val="TOC1"/>
            <w:rPr>
              <w:lang w:val="en-CA"/>
            </w:rPr>
          </w:pPr>
          <w:r>
            <w:rPr>
              <w:lang w:val="en-CA"/>
            </w:rPr>
          </w:r>
        </w:p>
        <w:p>
          <w:pPr>
            <w:pStyle w:val="TOC1"/>
            <w:rPr/>
          </w:pPr>
          <w:r>
            <w:rPr/>
            <w:t>IV. Storage And Balancing</w:t>
            <w:tab/>
          </w:r>
          <w:hyperlink w:anchor="__RefHeading___Toc487876575">
            <w:r>
              <w:rPr>
                <w:rStyle w:val="IndexLink"/>
              </w:rPr>
              <w:t>42</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A.</w:t>
            <w:tab/>
            <w:t>Load Diversity And System-Wide Balancing Provide Benefits To Both Core And Noncore Customers</w:t>
            <w:tab/>
          </w:r>
          <w:hyperlink w:anchor="__RefHeading___Toc487876576">
            <w:r>
              <w:rPr>
                <w:rStyle w:val="IndexLink"/>
                <w:lang w:val="en-CA"/>
              </w:rPr>
              <w:t>42</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B.</w:t>
            <w:tab/>
            <w:t>The Comprehensive Settlement Agreement Deprives Core Procurement Customers Of Storage And Balancing Assets While Charging Them The Same Cost</w:t>
            <w:tab/>
          </w:r>
          <w:hyperlink w:anchor="__RefHeading___Toc487876577">
            <w:r>
              <w:rPr>
                <w:rStyle w:val="IndexLink"/>
                <w:lang w:val="en-CA"/>
              </w:rPr>
              <w:t>43</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C.</w:t>
            <w:tab/>
            <w:t>Unbundling Balancing Imposes Costs Without Significant Benefits</w:t>
            <w:tab/>
          </w:r>
          <w:hyperlink w:anchor="__RefHeading___Toc487876578">
            <w:r>
              <w:rPr>
                <w:rStyle w:val="IndexLink"/>
                <w:lang w:val="en-CA"/>
              </w:rPr>
              <w:t>45</w:t>
            </w:r>
          </w:hyperlink>
        </w:p>
        <w:p>
          <w:pPr>
            <w:pStyle w:val="TOC3"/>
            <w:tabs>
              <w:tab w:val="clear" w:pos="720"/>
              <w:tab w:val="left" w:pos="960" w:leader="none"/>
              <w:tab w:val="right" w:pos="8630" w:leader="dot"/>
            </w:tabs>
            <w:spacing w:lineRule="auto" w:line="240"/>
            <w:rPr>
              <w:lang w:val="en-CA"/>
            </w:rPr>
          </w:pPr>
          <w:r>
            <w:rPr>
              <w:lang w:val="en-CA"/>
            </w:rPr>
          </w:r>
        </w:p>
        <w:p>
          <w:pPr>
            <w:pStyle w:val="TOC3"/>
            <w:tabs>
              <w:tab w:val="clear" w:pos="720"/>
              <w:tab w:val="left" w:pos="960" w:leader="none"/>
              <w:tab w:val="right" w:pos="8630" w:leader="dot"/>
            </w:tabs>
            <w:spacing w:lineRule="auto" w:line="240"/>
            <w:rPr>
              <w:lang w:val="en-CA"/>
            </w:rPr>
          </w:pPr>
          <w:r>
            <w:rPr>
              <w:lang w:val="en-CA"/>
            </w:rPr>
            <w:t>1.</w:t>
            <w:tab/>
            <w:t>The Benefit Of Unbundling Balancing Is Very Small For Core Transport Customers</w:t>
            <w:tab/>
          </w:r>
          <w:hyperlink w:anchor="__RefHeading___Toc487876579">
            <w:r>
              <w:rPr>
                <w:rStyle w:val="IndexLink"/>
                <w:lang w:val="en-CA"/>
              </w:rPr>
              <w:t>45</w:t>
            </w:r>
          </w:hyperlink>
        </w:p>
        <w:p>
          <w:pPr>
            <w:pStyle w:val="TOC3"/>
            <w:tabs>
              <w:tab w:val="clear" w:pos="720"/>
              <w:tab w:val="left" w:pos="960" w:leader="none"/>
              <w:tab w:val="right" w:pos="8630" w:leader="dot"/>
            </w:tabs>
            <w:spacing w:lineRule="auto" w:line="240"/>
            <w:rPr>
              <w:lang w:val="en-CA"/>
            </w:rPr>
          </w:pPr>
          <w:r>
            <w:rPr>
              <w:lang w:val="en-CA"/>
            </w:rPr>
          </w:r>
        </w:p>
        <w:p>
          <w:pPr>
            <w:pStyle w:val="TOC3"/>
            <w:tabs>
              <w:tab w:val="clear" w:pos="720"/>
              <w:tab w:val="left" w:pos="960" w:leader="none"/>
              <w:tab w:val="right" w:pos="8630" w:leader="dot"/>
            </w:tabs>
            <w:spacing w:lineRule="auto" w:line="240"/>
            <w:rPr>
              <w:lang w:val="en-CA"/>
            </w:rPr>
          </w:pPr>
          <w:r>
            <w:rPr>
              <w:lang w:val="en-CA"/>
            </w:rPr>
            <w:t>2.</w:t>
            <w:tab/>
            <w:t>System Efficiency Gains From Unbundling Balancing Are Small</w:t>
            <w:tab/>
          </w:r>
          <w:hyperlink w:anchor="__RefHeading___Toc487876580">
            <w:r>
              <w:rPr>
                <w:rStyle w:val="IndexLink"/>
                <w:lang w:val="en-CA"/>
              </w:rPr>
              <w:t>47</w:t>
            </w:r>
          </w:hyperlink>
        </w:p>
        <w:p>
          <w:pPr>
            <w:pStyle w:val="TOC3"/>
            <w:tabs>
              <w:tab w:val="clear" w:pos="720"/>
              <w:tab w:val="left" w:pos="960" w:leader="none"/>
              <w:tab w:val="right" w:pos="8630" w:leader="dot"/>
            </w:tabs>
            <w:spacing w:lineRule="auto" w:line="240"/>
            <w:rPr>
              <w:lang w:val="en-CA"/>
            </w:rPr>
          </w:pPr>
          <w:r>
            <w:rPr>
              <w:lang w:val="en-CA"/>
            </w:rPr>
          </w:r>
        </w:p>
        <w:p>
          <w:pPr>
            <w:pStyle w:val="TOC3"/>
            <w:tabs>
              <w:tab w:val="clear" w:pos="720"/>
              <w:tab w:val="left" w:pos="960" w:leader="none"/>
              <w:tab w:val="right" w:pos="8630" w:leader="dot"/>
            </w:tabs>
            <w:spacing w:lineRule="auto" w:line="240"/>
            <w:rPr>
              <w:lang w:val="en-CA"/>
            </w:rPr>
          </w:pPr>
          <w:r>
            <w:rPr>
              <w:lang w:val="en-CA"/>
            </w:rPr>
            <w:t>3.</w:t>
            <w:tab/>
            <w:t>Unbundling Storage And Balancing Will Increase Gas Costs For Core Customers</w:t>
            <w:tab/>
          </w:r>
          <w:hyperlink w:anchor="__RefHeading___Toc487876581">
            <w:r>
              <w:rPr>
                <w:rStyle w:val="IndexLink"/>
                <w:lang w:val="en-CA"/>
              </w:rPr>
              <w:t>50</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D.</w:t>
            <w:tab/>
            <w:t>The Post-Interim Settlement Agreement Benefits All Customers By Removing The Costs Of Montebello From Rates</w:t>
            <w:tab/>
          </w:r>
          <w:hyperlink w:anchor="__RefHeading___Toc487876582">
            <w:r>
              <w:rPr>
                <w:rStyle w:val="IndexLink"/>
                <w:lang w:val="en-CA"/>
              </w:rPr>
              <w:t>51</w:t>
            </w:r>
          </w:hyperlink>
        </w:p>
        <w:p>
          <w:pPr>
            <w:pStyle w:val="TOC1"/>
            <w:rPr>
              <w:lang w:val="en-CA"/>
            </w:rPr>
          </w:pPr>
          <w:r>
            <w:rPr>
              <w:lang w:val="en-CA"/>
            </w:rPr>
          </w:r>
        </w:p>
        <w:p>
          <w:pPr>
            <w:pStyle w:val="TOC1"/>
            <w:rPr/>
          </w:pPr>
          <w:r>
            <w:rPr/>
            <w:t>V.</w:t>
            <w:tab/>
            <w:t xml:space="preserve">  The Embedded Cost Unbundling In The Comprehensive Settlement Agreement Is Manipulated And Disadvantages Core Customers</w:t>
            <w:tab/>
          </w:r>
          <w:hyperlink w:anchor="__RefHeading___Toc487876583">
            <w:r>
              <w:rPr>
                <w:rStyle w:val="IndexLink"/>
              </w:rPr>
              <w:t>52</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A.</w:t>
            <w:tab/>
            <w:t>The Embedded Cost Methodology In The Comprehensive Settlement Agreement Was Result-Driven</w:t>
            <w:tab/>
          </w:r>
          <w:hyperlink w:anchor="__RefHeading___Toc487876584">
            <w:r>
              <w:rPr>
                <w:rStyle w:val="IndexLink"/>
                <w:lang w:val="en-CA"/>
              </w:rPr>
              <w:t>52</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B.</w:t>
            <w:tab/>
            <w:t>Manipulation Of The Embedded Cost Numbers Shifted Costs Onto Core Customers</w:t>
            <w:tab/>
          </w:r>
          <w:hyperlink w:anchor="__RefHeading___Toc487876585">
            <w:r>
              <w:rPr>
                <w:rStyle w:val="IndexLink"/>
                <w:lang w:val="en-CA"/>
              </w:rPr>
              <w:t>53</w:t>
            </w:r>
          </w:hyperlink>
        </w:p>
        <w:p>
          <w:pPr>
            <w:pStyle w:val="TOC3"/>
            <w:tabs>
              <w:tab w:val="clear" w:pos="720"/>
              <w:tab w:val="left" w:pos="960" w:leader="none"/>
              <w:tab w:val="right" w:pos="8630" w:leader="dot"/>
            </w:tabs>
            <w:spacing w:lineRule="auto" w:line="240"/>
            <w:rPr>
              <w:lang w:val="en-CA"/>
            </w:rPr>
          </w:pPr>
          <w:r>
            <w:rPr>
              <w:lang w:val="en-CA"/>
            </w:rPr>
          </w:r>
        </w:p>
        <w:p>
          <w:pPr>
            <w:pStyle w:val="TOC3"/>
            <w:tabs>
              <w:tab w:val="clear" w:pos="720"/>
              <w:tab w:val="left" w:pos="960" w:leader="none"/>
              <w:tab w:val="right" w:pos="8630" w:leader="dot"/>
            </w:tabs>
            <w:spacing w:lineRule="auto" w:line="240"/>
            <w:rPr>
              <w:lang w:val="en-CA"/>
            </w:rPr>
          </w:pPr>
          <w:r>
            <w:rPr>
              <w:lang w:val="en-CA"/>
            </w:rPr>
            <w:t>1.</w:t>
            <w:tab/>
            <w:t>A&amp;G Numbers Were Functionalized Entirely Based On O&amp;M Rather Than On The Commission’s Adopted Practice Of 50/50 Classification</w:t>
            <w:tab/>
          </w:r>
          <w:hyperlink w:anchor="__RefHeading___Toc487876586">
            <w:r>
              <w:rPr>
                <w:rStyle w:val="IndexLink"/>
                <w:lang w:val="en-CA"/>
              </w:rPr>
              <w:t>53</w:t>
            </w:r>
          </w:hyperlink>
        </w:p>
        <w:p>
          <w:pPr>
            <w:pStyle w:val="TOC3"/>
            <w:tabs>
              <w:tab w:val="clear" w:pos="720"/>
              <w:tab w:val="left" w:pos="960" w:leader="none"/>
              <w:tab w:val="right" w:pos="8630" w:leader="dot"/>
            </w:tabs>
            <w:spacing w:lineRule="auto" w:line="240"/>
            <w:rPr>
              <w:lang w:val="en-CA"/>
            </w:rPr>
          </w:pPr>
          <w:r>
            <w:rPr>
              <w:lang w:val="en-CA"/>
            </w:rPr>
          </w:r>
        </w:p>
        <w:p>
          <w:pPr>
            <w:pStyle w:val="TOC3"/>
            <w:tabs>
              <w:tab w:val="clear" w:pos="720"/>
              <w:tab w:val="left" w:pos="960" w:leader="none"/>
              <w:tab w:val="right" w:pos="8630" w:leader="dot"/>
            </w:tabs>
            <w:spacing w:lineRule="auto" w:line="240"/>
            <w:rPr>
              <w:lang w:val="en-CA"/>
            </w:rPr>
          </w:pPr>
          <w:r>
            <w:rPr>
              <w:lang w:val="en-CA"/>
            </w:rPr>
            <w:t>2.</w:t>
            <w:tab/>
            <w:t>Arbitrarily Shifting Embedded Costs From Backbone To Local Transmission Hurts Core Customers</w:t>
            <w:tab/>
          </w:r>
          <w:hyperlink w:anchor="__RefHeading___Toc487876587">
            <w:r>
              <w:rPr>
                <w:rStyle w:val="IndexLink"/>
                <w:lang w:val="en-CA"/>
              </w:rPr>
              <w:t>55</w:t>
            </w:r>
          </w:hyperlink>
        </w:p>
        <w:p>
          <w:pPr>
            <w:pStyle w:val="TOC1"/>
            <w:rPr>
              <w:lang w:val="en-CA"/>
            </w:rPr>
          </w:pPr>
          <w:r>
            <w:rPr>
              <w:lang w:val="en-CA"/>
            </w:rPr>
          </w:r>
        </w:p>
        <w:p>
          <w:pPr>
            <w:pStyle w:val="TOC1"/>
            <w:rPr/>
          </w:pPr>
          <w:r>
            <w:rPr/>
            <w:t>VI.  Retail Issues</w:t>
            <w:tab/>
          </w:r>
          <w:hyperlink w:anchor="__RefHeading___Toc487876588">
            <w:r>
              <w:rPr>
                <w:rStyle w:val="IndexLink"/>
              </w:rPr>
              <w:t>57</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A.</w:t>
            <w:tab/>
            <w:t>Certain Of The Retail Provisions Could Be Adopted In A Separate Phase Of This Proceeding</w:t>
            <w:tab/>
          </w:r>
          <w:hyperlink w:anchor="__RefHeading___Toc487876589">
            <w:r>
              <w:rPr>
                <w:rStyle w:val="IndexLink"/>
                <w:lang w:val="en-CA"/>
              </w:rPr>
              <w:t>58</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B.</w:t>
            <w:tab/>
            <w:t>Other Retail Provisions May Harm Customers</w:t>
            <w:tab/>
          </w:r>
          <w:hyperlink w:anchor="__RefHeading___Toc487876590">
            <w:r>
              <w:rPr>
                <w:rStyle w:val="IndexLink"/>
                <w:lang w:val="en-CA"/>
              </w:rPr>
              <w:t>58</w:t>
            </w:r>
          </w:hyperlink>
        </w:p>
        <w:p>
          <w:pPr>
            <w:pStyle w:val="TOC3"/>
            <w:tabs>
              <w:tab w:val="clear" w:pos="720"/>
              <w:tab w:val="left" w:pos="960" w:leader="none"/>
              <w:tab w:val="right" w:pos="8630" w:leader="dot"/>
            </w:tabs>
            <w:spacing w:lineRule="auto" w:line="240"/>
            <w:rPr>
              <w:lang w:val="en-CA"/>
            </w:rPr>
          </w:pPr>
          <w:r>
            <w:rPr>
              <w:lang w:val="en-CA"/>
            </w:rPr>
          </w:r>
        </w:p>
        <w:p>
          <w:pPr>
            <w:pStyle w:val="TOC3"/>
            <w:tabs>
              <w:tab w:val="clear" w:pos="720"/>
              <w:tab w:val="left" w:pos="960" w:leader="none"/>
              <w:tab w:val="right" w:pos="8630" w:leader="dot"/>
            </w:tabs>
            <w:spacing w:lineRule="auto" w:line="240"/>
            <w:rPr>
              <w:lang w:val="en-CA"/>
            </w:rPr>
          </w:pPr>
          <w:r>
            <w:rPr>
              <w:lang w:val="en-CA"/>
            </w:rPr>
            <w:t>1.</w:t>
            <w:tab/>
            <w:t>Price Disclosure On CAT Bill</w:t>
            <w:tab/>
          </w:r>
          <w:hyperlink w:anchor="__RefHeading___Toc487876591">
            <w:r>
              <w:rPr>
                <w:rStyle w:val="IndexLink"/>
                <w:lang w:val="en-CA"/>
              </w:rPr>
              <w:t>58</w:t>
            </w:r>
          </w:hyperlink>
        </w:p>
        <w:p>
          <w:pPr>
            <w:pStyle w:val="TOC3"/>
            <w:tabs>
              <w:tab w:val="clear" w:pos="720"/>
              <w:tab w:val="left" w:pos="960" w:leader="none"/>
              <w:tab w:val="right" w:pos="8630" w:leader="dot"/>
            </w:tabs>
            <w:spacing w:lineRule="auto" w:line="240"/>
            <w:rPr>
              <w:lang w:val="en-CA"/>
            </w:rPr>
          </w:pPr>
          <w:r>
            <w:rPr>
              <w:lang w:val="en-CA"/>
            </w:rPr>
          </w:r>
        </w:p>
        <w:p>
          <w:pPr>
            <w:pStyle w:val="TOC3"/>
            <w:tabs>
              <w:tab w:val="clear" w:pos="720"/>
              <w:tab w:val="left" w:pos="960" w:leader="none"/>
              <w:tab w:val="right" w:pos="8630" w:leader="dot"/>
            </w:tabs>
            <w:spacing w:lineRule="auto" w:line="240"/>
            <w:rPr>
              <w:lang w:val="en-CA"/>
            </w:rPr>
          </w:pPr>
          <w:r>
            <w:rPr>
              <w:lang w:val="en-CA"/>
            </w:rPr>
            <w:t>2.</w:t>
            <w:tab/>
            <w:t>Implementation Costs</w:t>
            <w:tab/>
          </w:r>
          <w:hyperlink w:anchor="__RefHeading___Toc487876592">
            <w:r>
              <w:rPr>
                <w:rStyle w:val="IndexLink"/>
                <w:lang w:val="en-CA"/>
              </w:rPr>
              <w:t>59</w:t>
            </w:r>
          </w:hyperlink>
        </w:p>
        <w:p>
          <w:pPr>
            <w:pStyle w:val="TOC3"/>
            <w:tabs>
              <w:tab w:val="clear" w:pos="720"/>
              <w:tab w:val="left" w:pos="960" w:leader="none"/>
              <w:tab w:val="right" w:pos="8630" w:leader="dot"/>
            </w:tabs>
            <w:spacing w:lineRule="auto" w:line="240"/>
            <w:rPr>
              <w:lang w:val="en-CA"/>
            </w:rPr>
          </w:pPr>
          <w:r>
            <w:rPr>
              <w:lang w:val="en-CA"/>
            </w:rPr>
          </w:r>
        </w:p>
        <w:p>
          <w:pPr>
            <w:pStyle w:val="TOC3"/>
            <w:tabs>
              <w:tab w:val="clear" w:pos="720"/>
              <w:tab w:val="left" w:pos="960" w:leader="none"/>
              <w:tab w:val="right" w:pos="8630" w:leader="dot"/>
            </w:tabs>
            <w:spacing w:lineRule="auto" w:line="240"/>
            <w:rPr>
              <w:lang w:val="en-CA"/>
            </w:rPr>
          </w:pPr>
          <w:r>
            <w:rPr>
              <w:lang w:val="en-CA"/>
            </w:rPr>
            <w:t>3.</w:t>
            <w:tab/>
            <w:t>Core Subscription</w:t>
            <w:tab/>
          </w:r>
          <w:hyperlink w:anchor="__RefHeading___Toc487876593">
            <w:r>
              <w:rPr>
                <w:rStyle w:val="IndexLink"/>
                <w:lang w:val="en-CA"/>
              </w:rPr>
              <w:t>61</w:t>
            </w:r>
          </w:hyperlink>
        </w:p>
        <w:p>
          <w:pPr>
            <w:pStyle w:val="TOC1"/>
            <w:rPr>
              <w:lang w:val="en-CA"/>
            </w:rPr>
          </w:pPr>
          <w:r>
            <w:rPr>
              <w:lang w:val="en-CA"/>
            </w:rPr>
          </w:r>
        </w:p>
        <w:p>
          <w:pPr>
            <w:pStyle w:val="TOC1"/>
            <w:rPr/>
          </w:pPr>
          <w:r>
            <w:rPr/>
            <w:t>VII.</w:t>
            <w:tab/>
            <w:t xml:space="preserve">  The Comprehensive Settlement Agreement Shifts Risk From Socalgas To Customers And Benefits The Utility</w:t>
            <w:tab/>
          </w:r>
          <w:hyperlink w:anchor="__RefHeading___Toc487876594">
            <w:r>
              <w:rPr>
                <w:rStyle w:val="IndexLink"/>
              </w:rPr>
              <w:t>61</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A.</w:t>
            <w:tab/>
            <w:t>Risk</w:t>
            <w:tab/>
          </w:r>
          <w:hyperlink w:anchor="__RefHeading___Toc487876595">
            <w:r>
              <w:rPr>
                <w:rStyle w:val="IndexLink"/>
                <w:lang w:val="en-CA"/>
              </w:rPr>
              <w:t>61</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B.</w:t>
            <w:tab/>
            <w:t>Revenues, Fees And Implementation Costs</w:t>
            <w:tab/>
          </w:r>
          <w:hyperlink w:anchor="__RefHeading___Toc487876596">
            <w:r>
              <w:rPr>
                <w:rStyle w:val="IndexLink"/>
                <w:lang w:val="en-CA"/>
              </w:rPr>
              <w:t>63</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C.</w:t>
            <w:tab/>
            <w:t>Hub Services And Revenues</w:t>
            <w:tab/>
          </w:r>
          <w:hyperlink w:anchor="__RefHeading___Toc487876597">
            <w:r>
              <w:rPr>
                <w:rStyle w:val="IndexLink"/>
                <w:lang w:val="en-CA"/>
              </w:rPr>
              <w:t>64</w:t>
            </w:r>
          </w:hyperlink>
        </w:p>
        <w:p>
          <w:pPr>
            <w:pStyle w:val="TOC1"/>
            <w:rPr>
              <w:lang w:val="en-CA"/>
            </w:rPr>
          </w:pPr>
          <w:r>
            <w:rPr>
              <w:lang w:val="en-CA"/>
            </w:rPr>
          </w:r>
        </w:p>
        <w:p>
          <w:pPr>
            <w:pStyle w:val="TOC1"/>
            <w:rPr/>
          </w:pPr>
          <w:r>
            <w:rPr/>
            <w:t>VIII.  Summary Of Costs And Benefits For Core Customers</w:t>
            <w:tab/>
          </w:r>
          <w:hyperlink w:anchor="__RefHeading___Toc487876598">
            <w:r>
              <w:rPr>
                <w:rStyle w:val="IndexLink"/>
              </w:rPr>
              <w:t>65</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A.</w:t>
            <w:tab/>
            <w:t>The Comprehensive Settlement Agreement Will Impose Significant Costs On Retail Core Customers</w:t>
            <w:tab/>
          </w:r>
          <w:hyperlink w:anchor="__RefHeading___Toc487876599">
            <w:r>
              <w:rPr>
                <w:rStyle w:val="IndexLink"/>
                <w:lang w:val="en-CA"/>
              </w:rPr>
              <w:t>66</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B.</w:t>
            <w:tab/>
            <w:t>Any Other “Benefits” Of The Comprehensive Settlement Agreement Are Highly Speculative</w:t>
            <w:tab/>
          </w:r>
          <w:hyperlink w:anchor="__RefHeading___Toc487876601">
            <w:r>
              <w:rPr>
                <w:rStyle w:val="IndexLink"/>
                <w:lang w:val="en-CA"/>
              </w:rPr>
              <w:t>68</w:t>
            </w:r>
          </w:hyperlink>
        </w:p>
        <w:p>
          <w:pPr>
            <w:pStyle w:val="TOC2"/>
            <w:tabs>
              <w:tab w:val="left" w:pos="720" w:leader="none"/>
              <w:tab w:val="right" w:pos="8630" w:leader="dot"/>
            </w:tabs>
            <w:spacing w:lineRule="auto" w:line="240"/>
            <w:rPr>
              <w:lang w:val="en-CA"/>
            </w:rPr>
          </w:pPr>
          <w:r>
            <w:rPr>
              <w:lang w:val="en-CA"/>
            </w:rPr>
          </w:r>
        </w:p>
        <w:p>
          <w:pPr>
            <w:pStyle w:val="TOC2"/>
            <w:tabs>
              <w:tab w:val="left" w:pos="720" w:leader="none"/>
              <w:tab w:val="right" w:pos="8630" w:leader="dot"/>
            </w:tabs>
            <w:spacing w:lineRule="auto" w:line="240"/>
            <w:rPr>
              <w:lang w:val="en-CA"/>
            </w:rPr>
          </w:pPr>
          <w:r>
            <w:rPr>
              <w:lang w:val="en-CA"/>
            </w:rPr>
            <w:t>C.</w:t>
            <w:tab/>
            <w:t>The Post-Interim Settlement Agreement Adopts All The Changes That Provide Customer Benefits</w:t>
            <w:tab/>
          </w:r>
          <w:hyperlink w:anchor="__RefHeading___Toc487876602">
            <w:r>
              <w:rPr>
                <w:rStyle w:val="IndexLink"/>
                <w:lang w:val="en-CA"/>
              </w:rPr>
              <w:t>71</w:t>
            </w:r>
          </w:hyperlink>
        </w:p>
        <w:p>
          <w:pPr>
            <w:pStyle w:val="TOC1"/>
            <w:rPr>
              <w:lang w:val="en-CA"/>
            </w:rPr>
          </w:pPr>
          <w:r>
            <w:rPr>
              <w:lang w:val="en-CA"/>
            </w:rPr>
          </w:r>
        </w:p>
        <w:p>
          <w:pPr>
            <w:pStyle w:val="TOC1"/>
            <w:rPr/>
          </w:pPr>
          <w:r>
            <w:rPr/>
            <w:t>IX. Conclusion</w:t>
            <w:tab/>
          </w:r>
          <w:hyperlink w:anchor="__RefHeading___Toc487876603">
            <w:r>
              <w:rPr>
                <w:rStyle w:val="IndexLink"/>
              </w:rPr>
              <w:t>74</w:t>
            </w:r>
          </w:hyperlink>
        </w:p>
        <w:p>
          <w:pPr>
            <w:pStyle w:val="TOC1"/>
            <w:rPr/>
          </w:pPr>
          <w:r>
            <w:rPr/>
          </w:r>
          <w:r>
            <w:rPr/>
            <w:fldChar w:fldCharType="end"/>
          </w:r>
        </w:p>
      </w:sdtContent>
    </w:sdt>
    <w:p>
      <w:pPr>
        <w:pStyle w:val="Footer"/>
        <w:tabs>
          <w:tab w:val="clear" w:pos="4320"/>
          <w:tab w:val="clear" w:pos="8640"/>
        </w:tabs>
        <w:spacing w:lineRule="auto" w:line="240"/>
        <w:rPr/>
      </w:pPr>
      <w:r>
        <w:rPr/>
        <w:t>Appendix A</w:t>
      </w:r>
    </w:p>
    <w:p>
      <w:pPr>
        <w:pStyle w:val="Footer"/>
        <w:tabs>
          <w:tab w:val="clear" w:pos="4320"/>
          <w:tab w:val="clear" w:pos="8640"/>
        </w:tabs>
        <w:spacing w:lineRule="auto" w:line="240"/>
        <w:rPr/>
      </w:pPr>
      <w:r>
        <w:rPr/>
      </w:r>
    </w:p>
    <w:p>
      <w:pPr>
        <w:pStyle w:val="Footer"/>
        <w:tabs>
          <w:tab w:val="clear" w:pos="4320"/>
          <w:tab w:val="clear" w:pos="8640"/>
        </w:tabs>
        <w:spacing w:lineRule="auto" w:line="240"/>
        <w:jc w:val="center"/>
        <w:rPr>
          <w:b/>
        </w:rPr>
      </w:pPr>
      <w:r>
        <w:rPr>
          <w:b/>
        </w:rPr>
        <w:t>LIST OF TABLES</w:t>
      </w:r>
    </w:p>
    <w:p>
      <w:pPr>
        <w:pStyle w:val="Footer"/>
        <w:tabs>
          <w:tab w:val="clear" w:pos="4320"/>
          <w:tab w:val="clear" w:pos="8640"/>
        </w:tabs>
        <w:spacing w:lineRule="auto" w:line="240"/>
        <w:rPr>
          <w:b/>
        </w:rPr>
      </w:pPr>
      <w:r>
        <w:rPr>
          <w:b/>
        </w:rPr>
      </w:r>
    </w:p>
    <w:p>
      <w:pPr>
        <w:pStyle w:val="Footer"/>
        <w:tabs>
          <w:tab w:val="clear" w:pos="4320"/>
          <w:tab w:val="clear" w:pos="8640"/>
        </w:tabs>
        <w:spacing w:lineRule="auto" w:line="240"/>
        <w:rPr>
          <w:b/>
        </w:rPr>
      </w:pPr>
      <w:r>
        <w:rPr>
          <w:b/>
        </w:rPr>
      </w:r>
    </w:p>
    <w:p>
      <w:pPr>
        <w:pStyle w:val="Footer"/>
        <w:tabs>
          <w:tab w:val="clear" w:pos="4320"/>
          <w:tab w:val="clear" w:pos="8640"/>
        </w:tabs>
        <w:spacing w:lineRule="auto" w:line="240"/>
        <w:rPr>
          <w:b/>
        </w:rPr>
      </w:pPr>
      <w:r>
        <w:rPr>
          <w:b/>
        </w:rPr>
        <w:t>Table 1:  Allocation of Stranded Costs within Core Class …………………..19</w:t>
      </w:r>
    </w:p>
    <w:p>
      <w:pPr>
        <w:pStyle w:val="Footer"/>
        <w:tabs>
          <w:tab w:val="clear" w:pos="4320"/>
          <w:tab w:val="clear" w:pos="8640"/>
        </w:tabs>
        <w:spacing w:lineRule="auto" w:line="240"/>
        <w:rPr>
          <w:b/>
        </w:rPr>
      </w:pPr>
      <w:r>
        <w:rPr>
          <w:b/>
        </w:rPr>
      </w:r>
    </w:p>
    <w:p>
      <w:pPr>
        <w:pStyle w:val="Normal"/>
        <w:rPr>
          <w:b/>
        </w:rPr>
      </w:pPr>
      <w:r>
        <w:rPr>
          <w:b/>
        </w:rPr>
        <w:t>Table 2:  Cost of Capacity Purchases on Secondary Market ………………..34</w:t>
      </w:r>
    </w:p>
    <w:p>
      <w:pPr>
        <w:pStyle w:val="Normal"/>
        <w:rPr>
          <w:b/>
        </w:rPr>
      </w:pPr>
      <w:r>
        <w:rPr>
          <w:b/>
        </w:rPr>
        <w:t>Table 3:  Quantifiable costs of the CSA to retail core  ………………………..67</w:t>
      </w:r>
    </w:p>
    <w:p>
      <w:pPr>
        <w:pStyle w:val="Normal"/>
        <w:rPr>
          <w:b/>
        </w:rPr>
      </w:pPr>
      <w:r>
        <w:rPr>
          <w:b/>
        </w:rPr>
      </w:r>
    </w:p>
    <w:p>
      <w:pPr>
        <w:pStyle w:val="Footer"/>
        <w:tabs>
          <w:tab w:val="clear" w:pos="4320"/>
          <w:tab w:val="clear" w:pos="8640"/>
        </w:tabs>
        <w:spacing w:lineRule="auto" w:line="240"/>
        <w:rPr>
          <w:b/>
        </w:rPr>
      </w:pPr>
      <w:r>
        <w:rPr>
          <w:b/>
        </w:rPr>
      </w:r>
    </w:p>
    <w:sectPr>
      <w:footerReference w:type="default" r:id="rId5"/>
      <w:footerReference w:type="first" r:id="rId6"/>
      <w:footnotePr>
        <w:numFmt w:val="decimal"/>
      </w:footnotePr>
      <w:type w:val="nextPage"/>
      <w:pgSz w:w="12240" w:h="15840"/>
      <w:pgMar w:left="1800" w:right="1800" w:gutter="0" w:header="0" w:top="1440" w:footer="72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Wingdings">
    <w:charset w:val="02"/>
    <w:family w:val="auto"/>
    <w:pitch w:val="variable"/>
  </w:font>
  <w:font w:name="Liberation Sans">
    <w:altName w:val="Arial"/>
    <w:charset w:val="01" w:characterSet="utf-8"/>
    <w:family w:val="swiss"/>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sz w:val="20"/>
      </w:rPr>
      <w:t>I.99-07-003</w:t>
      <w:tab/>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74</w:t>
    </w:r>
    <w:r>
      <w:rPr>
        <w:rStyle w:val="PageNumber"/>
        <w:sz w:val="20"/>
      </w:rPr>
      <w:fldChar w:fldCharType="end"/>
    </w:r>
    <w:r>
      <w:rPr>
        <w:rStyle w:val="PageNumber"/>
        <w:sz w:val="20"/>
      </w:rPr>
      <w:tab/>
      <w:t>TURN Opening Brief</w:t>
    </w:r>
    <w:r>
      <w:rPr>
        <w:sz w:val="20"/>
      </w:rPr>
      <w:tab/>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ab/>
      <w:tab/>
      <w:tab/>
      <w:tab/>
      <w:tab/>
      <w:tab/>
    </w:r>
    <w:r>
      <mc:AlternateContent>
        <mc:Choice Requires="wps">
          <w:drawing>
            <wp:anchor behindDoc="0" distT="0" distB="0" distL="0" distR="0" simplePos="0" locked="0" layoutInCell="0" allowOverlap="1" relativeHeight="7">
              <wp:simplePos x="0" y="0"/>
              <wp:positionH relativeFrom="margin">
                <wp:align>center</wp:align>
              </wp:positionH>
              <wp:positionV relativeFrom="paragraph">
                <wp:posOffset>635</wp:posOffset>
              </wp:positionV>
              <wp:extent cx="110490" cy="175260"/>
              <wp:effectExtent l="0" t="0" r="0" b="0"/>
              <wp:wrapSquare wrapText="bothSides"/>
              <wp:docPr id="1" name="Frame1"/>
              <a:graphic xmlns:a="http://schemas.openxmlformats.org/drawingml/2006/main">
                <a:graphicData uri="http://schemas.microsoft.com/office/word/2010/wordprocessingShape">
                  <wps:wsp>
                    <wps:cNvSpPr txBox="1"/>
                    <wps:spPr>
                      <a:xfrm>
                        <a:off x="0" y="0"/>
                        <a:ext cx="110490" cy="175260"/>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8.7pt;height:13.8pt;mso-wrap-distance-left:0pt;mso-wrap-distance-right:0pt;mso-wrap-distance-top:0pt;mso-wrap-distance-bottom:0pt;margin-top:0.05pt;mso-position-vertical-relative:text;margin-left:211.65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vi</w:t>
                    </w:r>
                    <w:r>
                      <w:rPr>
                        <w:rStyle w:val="PageNumber"/>
                      </w:rPr>
                      <w:fldChar w:fldCharType="end"/>
                    </w:r>
                  </w:p>
                </w:txbxContent>
              </v:textbox>
              <w10:wrap type="square"/>
            </v:rect>
          </w:pict>
        </mc:Fallback>
      </mc:AlternateConten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tab/>
    </w:r>
    <w:r>
      <mc:AlternateContent>
        <mc:Choice Requires="wps">
          <w:drawing>
            <wp:anchor behindDoc="0" distT="0" distB="0" distL="0" distR="0" simplePos="0" locked="0" layoutInCell="0" allowOverlap="1" relativeHeight="11">
              <wp:simplePos x="0" y="0"/>
              <wp:positionH relativeFrom="margin">
                <wp:align>center</wp:align>
              </wp:positionH>
              <wp:positionV relativeFrom="paragraph">
                <wp:posOffset>635</wp:posOffset>
              </wp:positionV>
              <wp:extent cx="14605" cy="175260"/>
              <wp:effectExtent l="0" t="0" r="0" b="0"/>
              <wp:wrapSquare wrapText="bothSides"/>
              <wp:docPr id="2" name="Frame2"/>
              <a:graphic xmlns:a="http://schemas.openxmlformats.org/drawingml/2006/main">
                <a:graphicData uri="http://schemas.microsoft.com/office/word/2010/wordprocessingShape">
                  <wps:wsp>
                    <wps:cNvSpPr txBox="1"/>
                    <wps:spPr>
                      <a:xfrm>
                        <a:off x="0" y="0"/>
                        <a:ext cx="14605" cy="175260"/>
                      </a:xfrm>
                      <a:prstGeom prst="rect"/>
                      <a:solidFill>
                        <a:srgbClr val="FFFFFF">
                          <a:alpha val="0"/>
                        </a:srgbClr>
                      </a:solidFill>
                    </wps:spPr>
                    <wps:txbx>
                      <w:txbxContent>
                        <w:p>
                          <w:pPr>
                            <w:pStyle w:val="Footer"/>
                            <w:rPr>
                              <w:rStyle w:val="PageNumber"/>
                            </w:rPr>
                          </w:pPr>
                          <w:r>
                            <w:rPr/>
                          </w:r>
                        </w:p>
                      </w:txbxContent>
                    </wps:txbx>
                    <wps:bodyPr anchor="t" lIns="0" tIns="0" rIns="0" bIns="0">
                      <a:noAutofit/>
                    </wps:bodyPr>
                  </wps:wsp>
                </a:graphicData>
              </a:graphic>
            </wp:anchor>
          </w:drawing>
        </mc:Choice>
        <mc:Fallback>
          <w:pict>
            <v:rect fillcolor="#FFFFFF" style="position:absolute;rotation:-0;width:1.15pt;height:13.8pt;mso-wrap-distance-left:0pt;mso-wrap-distance-right:0pt;mso-wrap-distance-top:0pt;mso-wrap-distance-bottom:0pt;margin-top:0.05pt;mso-position-vertical-relative:text;margin-left:215.45pt;mso-position-horizontal:center;mso-position-horizontal-relative:margin">
              <v:fill opacity="0f"/>
              <v:textbox inset="0in,0in,0in,0in">
                <w:txbxContent>
                  <w:p>
                    <w:pPr>
                      <w:pStyle w:val="Footer"/>
                      <w:rPr>
                        <w:rStyle w:val="PageNumber"/>
                      </w:rPr>
                    </w:pPr>
                    <w:r>
                      <w:rPr/>
                    </w:r>
                  </w:p>
                </w:txbxContent>
              </v:textbox>
              <w10:wrap type="square"/>
            </v:rect>
          </w:pict>
        </mc:Fallback>
      </mc:AlternateContent>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rPr/>
      </w:pPr>
      <w:r>
        <w:rPr>
          <w:rStyle w:val="FootnoteCharacters"/>
        </w:rPr>
        <w:footnoteRef/>
      </w:r>
      <w:r>
        <w:rPr/>
        <w:t xml:space="preserve"> </w:t>
      </w:r>
      <w:r>
        <w:rPr/>
        <w:t>TURN uses the terms PSA to denote the entire Post-Interim Settlement Agreement, including the ISA.  TURN refers only to the ISA when useful to emphasize its provisions.</w:t>
      </w:r>
    </w:p>
  </w:footnote>
  <w:footnote w:id="3">
    <w:p>
      <w:pPr>
        <w:pStyle w:val="FootnoteText"/>
        <w:rPr/>
      </w:pPr>
      <w:r>
        <w:rPr>
          <w:rStyle w:val="FootnoteCharacters"/>
        </w:rPr>
        <w:footnoteRef/>
      </w:r>
      <w:r>
        <w:rPr/>
        <w:t xml:space="preserve"> </w:t>
      </w:r>
      <w:r>
        <w:rPr/>
        <w:t>Technically, the Commission has before it a third possibility, the ISA by itself.  However, no party filed testimony in support of adopting only the ISA.</w:t>
      </w:r>
    </w:p>
  </w:footnote>
  <w:footnote w:id="4">
    <w:p>
      <w:pPr>
        <w:pStyle w:val="FootnoteText"/>
        <w:rPr/>
      </w:pPr>
      <w:r>
        <w:rPr>
          <w:rStyle w:val="FootnoteCharacters"/>
        </w:rPr>
        <w:footnoteRef/>
      </w:r>
      <w:r>
        <w:rPr/>
        <w:t xml:space="preserve"> </w:t>
      </w:r>
      <w:r>
        <w:rPr/>
        <w:t>In accordance with the admonition of ALJ Biren to limit duplication (RT ###), TURN will not delve in detail into the negative effects of the Comprehensive Settlement Agreement upon electric generators, a topic which will be addressed by SCGC.</w:t>
      </w:r>
    </w:p>
  </w:footnote>
  <w:footnote w:id="5">
    <w:p>
      <w:pPr>
        <w:pStyle w:val="FootnoteText"/>
        <w:rPr/>
      </w:pPr>
      <w:r>
        <w:rPr>
          <w:rStyle w:val="FootnoteCharacters"/>
        </w:rPr>
        <w:footnoteRef/>
      </w:r>
      <w:r>
        <w:rPr/>
        <w:t xml:space="preserve"> </w:t>
      </w:r>
      <w:r>
        <w:rPr/>
        <w:t>SoCalGas also uses the term CTA (Core Transportation Aggregation) program and CTA customer.</w:t>
      </w:r>
    </w:p>
  </w:footnote>
  <w:footnote w:id="6">
    <w:p>
      <w:pPr>
        <w:pStyle w:val="FootnoteText"/>
        <w:rPr/>
      </w:pPr>
      <w:r>
        <w:rPr>
          <w:rStyle w:val="FootnoteCharacters"/>
        </w:rPr>
        <w:footnoteRef/>
      </w:r>
      <w:r>
        <w:rPr/>
        <w:t xml:space="preserve"> </w:t>
      </w:r>
      <w:r>
        <w:rPr/>
        <w:t>ITCS costs are allocated based on equal cents per therm, but the core’s share is capped at 10% of the cost of the core’s interstate capacity reservation. D.92-07-025, mimeo. at 19. Core customers paid over $128 million from 1993-1997. Over $35 million has been amortized in 1997-2000.</w:t>
      </w:r>
    </w:p>
  </w:footnote>
  <w:footnote w:id="7">
    <w:p>
      <w:pPr>
        <w:pStyle w:val="FootnoteText"/>
        <w:rPr/>
      </w:pPr>
      <w:r>
        <w:rPr>
          <w:rStyle w:val="FootnoteCharacters"/>
        </w:rPr>
        <w:footnoteRef/>
      </w:r>
      <w:r>
        <w:rPr/>
        <w:t xml:space="preserve"> </w:t>
      </w:r>
      <w:r>
        <w:rPr/>
        <w:t>The value of this “benefit” runs through September 2006, the termination date of SoCalGas’ El Paso contract.  The core’s annual ITCS contribution depends on the value of SoCalGas brokered capacity, and has been forecast to be between $7.5-10 million.  (e.g., Exh. 2, Attachment 8, Lorenz; Exh. 101, Table 3, Yap.)</w:t>
      </w:r>
    </w:p>
  </w:footnote>
  <w:footnote w:id="8">
    <w:p>
      <w:pPr>
        <w:pStyle w:val="FootnoteText"/>
        <w:rPr/>
      </w:pPr>
      <w:r>
        <w:rPr>
          <w:rStyle w:val="FootnoteCharacters"/>
        </w:rPr>
        <w:footnoteRef/>
      </w:r>
      <w:r>
        <w:rPr/>
        <w:t xml:space="preserve"> </w:t>
      </w:r>
      <w:r>
        <w:rPr/>
        <w:t>In contrast, the Post-Interim Settlement Agreement would provide a maximum credit of 2.9 cents per decatherm for a CAT rejecting the nonreliability storage portion. (RT 971, ll. 11-14, Lorenz.)</w:t>
      </w:r>
    </w:p>
  </w:footnote>
  <w:footnote w:id="9">
    <w:p>
      <w:pPr>
        <w:pStyle w:val="FootnoteText"/>
        <w:rPr/>
      </w:pPr>
      <w:r>
        <w:rPr>
          <w:rStyle w:val="FootnoteCharacters"/>
        </w:rPr>
        <w:footnoteRef/>
      </w:r>
      <w:r>
        <w:rPr/>
        <w:t xml:space="preserve"> </w:t>
      </w:r>
      <w:r>
        <w:rPr/>
        <w:t>These calculations assume a 10% CAT participation rate and an 85/15 ratio of commercial and industrial versus residential CAT customers. (Exh. 112, DR1-4.)</w:t>
      </w:r>
    </w:p>
  </w:footnote>
  <w:footnote w:id="10">
    <w:p>
      <w:pPr>
        <w:pStyle w:val="FootnoteText"/>
        <w:rPr/>
      </w:pPr>
      <w:r>
        <w:rPr>
          <w:rStyle w:val="FootnoteCharacters"/>
        </w:rPr>
        <w:footnoteRef/>
      </w:r>
      <w:r>
        <w:rPr/>
        <w:t xml:space="preserve"> </w:t>
      </w:r>
      <w:r>
        <w:rPr/>
        <w:t>Regrettably, PG&amp;E did not testify regarding this matter in I.99-07-003. Thus, TURN does not offer this as evidence of the truth of the assertion, but simply to show PG&amp;E’s position concerning this highly relevant issue.</w:t>
      </w:r>
    </w:p>
  </w:footnote>
  <w:footnote w:id="11">
    <w:p>
      <w:pPr>
        <w:pStyle w:val="FootnoteText"/>
        <w:rPr/>
      </w:pPr>
      <w:r>
        <w:rPr>
          <w:rStyle w:val="FootnoteCharacters"/>
        </w:rPr>
        <w:footnoteRef/>
      </w:r>
      <w:r>
        <w:rPr/>
        <w:t xml:space="preserve"> </w:t>
      </w:r>
      <w:r>
        <w:rPr/>
        <w:t>The table assumes 1999 usage levels and purchases at SoCalGas’ maximum interruptible rate of $0.08629 per decatherm (1.2 times the postage stamp rate of $0.07191) for a capacity amount at the midpoint of the increments analyzed by Ms. Yap.</w:t>
      </w:r>
    </w:p>
  </w:footnote>
  <w:footnote w:id="12">
    <w:p>
      <w:pPr>
        <w:pStyle w:val="FootnoteText"/>
        <w:rPr/>
      </w:pPr>
      <w:r>
        <w:rPr>
          <w:rStyle w:val="FootnoteCharacters"/>
        </w:rPr>
        <w:footnoteRef/>
      </w:r>
      <w:r>
        <w:rPr/>
        <w:t xml:space="preserve"> </w:t>
      </w:r>
      <w:r>
        <w:rPr/>
        <w:t>Long Beach provides a useful summary of the difference between an open season and an auction in the direct testimony of Paul Premo.  (Exh. 200, pp. 2-5.)</w:t>
      </w:r>
    </w:p>
  </w:footnote>
  <w:footnote w:id="13">
    <w:p>
      <w:pPr>
        <w:pStyle w:val="FootnoteText"/>
        <w:rPr/>
      </w:pPr>
      <w:r>
        <w:rPr>
          <w:rStyle w:val="FootnoteCharacters"/>
        </w:rPr>
        <w:footnoteRef/>
      </w:r>
      <w:r>
        <w:rPr/>
        <w:t xml:space="preserve"> </w:t>
      </w:r>
      <w:r>
        <w:rPr/>
        <w:t>While technically the core uses its reserved storage assets (plus the 25.5. MMcf/d of injection) and the noncore uses its balancing assets for balancing, in practice system-wide balancing means that for purposes of calculating over or under-nominations (or future OFOs), the combined core and noncore storage assets are compared versus combined usage and flowing supplies.</w:t>
      </w:r>
    </w:p>
  </w:footnote>
  <w:footnote w:id="14">
    <w:p>
      <w:pPr>
        <w:pStyle w:val="FootnoteText"/>
        <w:rPr/>
      </w:pPr>
      <w:r>
        <w:rPr>
          <w:rStyle w:val="FootnoteCharacters"/>
        </w:rPr>
        <w:footnoteRef/>
      </w:r>
      <w:r>
        <w:rPr/>
        <w:t xml:space="preserve"> </w:t>
      </w:r>
      <w:r>
        <w:rPr/>
        <w:t>There was considerable dispute in R.98-01-011 regarding who pays for what balancing assets. Ms. Yap’s analysis shows that both core and noncore at times utilize more of the balancing assets that they actually pay for.</w:t>
      </w:r>
    </w:p>
  </w:footnote>
  <w:footnote w:id="15">
    <w:p>
      <w:pPr>
        <w:pStyle w:val="FootnoteText"/>
        <w:rPr/>
      </w:pPr>
      <w:r>
        <w:rPr>
          <w:rStyle w:val="FootnoteCharacters"/>
        </w:rPr>
        <w:footnoteRef/>
      </w:r>
      <w:r>
        <w:rPr/>
        <w:t xml:space="preserve"> </w:t>
      </w:r>
      <w:r>
        <w:rPr/>
        <w:t>That these choices are not crystal clear is exemplified by the fact that Mr. Counihan, the main witness for core aggregators, describes the 1.6 cent/dth credit as one for “unbundled balancing” (Exh. 13, p. 8), while Mr. Lorenz describes it as the credit for choosing the default noncore balancing package (Exh. 2, p. 18, ll. 24-26).</w:t>
      </w:r>
    </w:p>
  </w:footnote>
  <w:footnote w:id="16">
    <w:p>
      <w:pPr>
        <w:pStyle w:val="FootnoteText"/>
        <w:rPr/>
      </w:pPr>
      <w:r>
        <w:rPr>
          <w:rStyle w:val="FootnoteCharacters"/>
        </w:rPr>
        <w:footnoteRef/>
      </w:r>
      <w:r>
        <w:rPr/>
        <w:t xml:space="preserve"> </w:t>
      </w:r>
      <w:r>
        <w:rPr/>
        <w:t>While most of these costs affect all core customers, TURN focuses on the retail core because at least one cost – stranded asset allocation – is a tradeoff between core sales and core procurement. Higher gas costs would also affect only retail core.</w:t>
      </w:r>
    </w:p>
  </w:footnote>
  <w:footnote w:id="17">
    <w:p>
      <w:pPr>
        <w:pStyle w:val="FootnoteText"/>
        <w:rPr/>
      </w:pPr>
      <w:r>
        <w:rPr>
          <w:rStyle w:val="FootnoteCharacters"/>
        </w:rPr>
        <w:footnoteRef/>
      </w:r>
      <w:r>
        <w:rPr/>
        <w:t xml:space="preserve"> </w:t>
      </w:r>
      <w:r>
        <w:rPr/>
        <w:t>TURN often follows the assumptions in various testimonies of a 10% CAT market penetration in calculating various costs and benefits.  The assumption of no replacement is unrealistic, and actual potential savings would be lower.</w:t>
      </w:r>
    </w:p>
  </w:footnote>
</w:footnote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upperRoman"/>
      <w:lvlText w:val="%1."/>
      <w:lvlJc w:val="start"/>
      <w:pPr>
        <w:tabs>
          <w:tab w:val="num" w:pos="720"/>
        </w:tabs>
        <w:ind w:start="0" w:hanging="0"/>
      </w:pPr>
    </w:lvl>
    <w:lvl w:ilvl="1">
      <w:start w:val="1"/>
      <w:pStyle w:val="Heading2"/>
      <w:numFmt w:val="upperLetter"/>
      <w:lvlText w:val="%2."/>
      <w:lvlJc w:val="start"/>
      <w:pPr>
        <w:tabs>
          <w:tab w:val="num" w:pos="1080"/>
        </w:tabs>
        <w:ind w:start="720" w:hanging="0"/>
      </w:pPr>
    </w:lvl>
    <w:lvl w:ilvl="2">
      <w:start w:val="1"/>
      <w:pStyle w:val="Heading3"/>
      <w:numFmt w:val="decimal"/>
      <w:lvlText w:val="%3."/>
      <w:lvlJc w:val="start"/>
      <w:pPr>
        <w:tabs>
          <w:tab w:val="num" w:pos="1800"/>
        </w:tabs>
        <w:ind w:start="1440" w:hanging="0"/>
      </w:pPr>
    </w:lvl>
    <w:lvl w:ilvl="3">
      <w:start w:val="1"/>
      <w:pStyle w:val="Heading4"/>
      <w:numFmt w:val="lowerLetter"/>
      <w:lvlText w:val="%4)"/>
      <w:lvlJc w:val="start"/>
      <w:pPr>
        <w:tabs>
          <w:tab w:val="num" w:pos="2520"/>
        </w:tabs>
        <w:ind w:start="2160" w:hanging="0"/>
      </w:pPr>
    </w:lvl>
    <w:lvl w:ilvl="4">
      <w:start w:val="1"/>
      <w:pStyle w:val="Heading5"/>
      <w:numFmt w:val="decimal"/>
      <w:lvlText w:val="(%5)"/>
      <w:lvlJc w:val="start"/>
      <w:pPr>
        <w:tabs>
          <w:tab w:val="num" w:pos="3240"/>
        </w:tabs>
        <w:ind w:start="2880" w:hanging="0"/>
      </w:pPr>
    </w:lvl>
    <w:lvl w:ilvl="5">
      <w:start w:val="1"/>
      <w:pStyle w:val="Heading6"/>
      <w:numFmt w:val="lowerLetter"/>
      <w:lvlText w:val="(%6)"/>
      <w:lvlJc w:val="start"/>
      <w:pPr>
        <w:tabs>
          <w:tab w:val="num" w:pos="3960"/>
        </w:tabs>
        <w:ind w:start="3600" w:hanging="0"/>
      </w:pPr>
    </w:lvl>
    <w:lvl w:ilvl="6">
      <w:start w:val="1"/>
      <w:pStyle w:val="Heading7"/>
      <w:numFmt w:val="lowerRoman"/>
      <w:lvlText w:val="(%7)"/>
      <w:lvlJc w:val="start"/>
      <w:pPr>
        <w:tabs>
          <w:tab w:val="num" w:pos="4680"/>
        </w:tabs>
        <w:ind w:start="4320" w:hanging="0"/>
      </w:pPr>
    </w:lvl>
    <w:lvl w:ilvl="7">
      <w:start w:val="1"/>
      <w:pStyle w:val="Heading8"/>
      <w:numFmt w:val="lowerLetter"/>
      <w:lvlText w:val="(%8)"/>
      <w:lvlJc w:val="start"/>
      <w:pPr>
        <w:tabs>
          <w:tab w:val="num" w:pos="5400"/>
        </w:tabs>
        <w:ind w:start="5040" w:hanging="0"/>
      </w:pPr>
    </w:lvl>
    <w:lvl w:ilvl="8">
      <w:start w:val="1"/>
      <w:pStyle w:val="Heading9"/>
      <w:numFmt w:val="lowerRoman"/>
      <w:lvlText w:val="(%9)"/>
      <w:lvlJc w:val="start"/>
      <w:pPr>
        <w:tabs>
          <w:tab w:val="num" w:pos="6120"/>
        </w:tabs>
        <w:ind w:start="576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abstractNum>
  <w:abstractNum w:abstractNumId="3">
    <w:lvl w:ilvl="0">
      <w:start w:val="1"/>
      <w:numFmt w:val="bullet"/>
      <w:lvlText w:val=""/>
      <w:lvlJc w:val="start"/>
      <w:pPr>
        <w:tabs>
          <w:tab w:val="num" w:pos="360"/>
        </w:tabs>
        <w:ind w:start="360" w:hanging="360"/>
      </w:pPr>
      <w:rPr>
        <w:rFonts w:ascii="Symbol" w:hAnsi="Symbol" w:cs="Symbol" w:hint="default"/>
      </w:rPr>
    </w:lvl>
  </w:abstractNum>
  <w:abstractNum w:abstractNumId="4">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spacing w:lineRule="auto" w:line="480"/>
    </w:pPr>
    <w:rPr>
      <w:rFonts w:ascii="Arial" w:hAnsi="Arial" w:eastAsia="Times New Roman" w:cs="Arial"/>
      <w:color w:val="auto"/>
      <w:sz w:val="24"/>
      <w:szCs w:val="20"/>
      <w:lang w:val="en-US" w:eastAsia="zh-CN" w:bidi="hi-IN"/>
    </w:rPr>
  </w:style>
  <w:style w:type="paragraph" w:styleId="Heading1">
    <w:name w:val="heading 1"/>
    <w:basedOn w:val="Normal"/>
    <w:next w:val="Normal"/>
    <w:qFormat/>
    <w:pPr>
      <w:keepNext w:val="true"/>
      <w:numPr>
        <w:ilvl w:val="0"/>
        <w:numId w:val="1"/>
      </w:numPr>
      <w:spacing w:lineRule="auto" w:line="240" w:before="240" w:after="60"/>
      <w:outlineLvl w:val="0"/>
    </w:pPr>
    <w:rPr>
      <w:b/>
      <w:caps/>
    </w:rPr>
  </w:style>
  <w:style w:type="paragraph" w:styleId="Heading2">
    <w:name w:val="heading 2"/>
    <w:basedOn w:val="Normal"/>
    <w:next w:val="Normal"/>
    <w:qFormat/>
    <w:pPr>
      <w:keepNext w:val="true"/>
      <w:numPr>
        <w:ilvl w:val="1"/>
        <w:numId w:val="1"/>
      </w:numPr>
      <w:spacing w:lineRule="auto" w:line="240" w:before="240" w:after="60"/>
      <w:outlineLvl w:val="1"/>
    </w:pPr>
    <w:rPr>
      <w:b/>
      <w:smallCaps/>
    </w:rPr>
  </w:style>
  <w:style w:type="paragraph" w:styleId="Heading3">
    <w:name w:val="heading 3"/>
    <w:basedOn w:val="Normal"/>
    <w:next w:val="Normal"/>
    <w:qFormat/>
    <w:pPr>
      <w:keepNext w:val="true"/>
      <w:numPr>
        <w:ilvl w:val="2"/>
        <w:numId w:val="1"/>
      </w:numPr>
      <w:spacing w:lineRule="auto" w:line="240" w:before="240" w:after="60"/>
      <w:outlineLvl w:val="2"/>
    </w:pPr>
    <w:rPr>
      <w:b/>
    </w:rPr>
  </w:style>
  <w:style w:type="paragraph" w:styleId="Heading4">
    <w:name w:val="heading 4"/>
    <w:basedOn w:val="Normal"/>
    <w:next w:val="Normal"/>
    <w:qFormat/>
    <w:pPr>
      <w:keepNext w:val="true"/>
      <w:numPr>
        <w:ilvl w:val="3"/>
        <w:numId w:val="1"/>
      </w:numPr>
      <w:spacing w:lineRule="auto" w:line="240" w:before="240" w:after="60"/>
      <w:outlineLvl w:val="3"/>
    </w:pPr>
    <w:rPr>
      <w:b/>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sz w:val="20"/>
    </w:rPr>
  </w:style>
  <w:style w:type="paragraph" w:styleId="Heading8">
    <w:name w:val="heading 8"/>
    <w:basedOn w:val="Normal"/>
    <w:next w:val="Normal"/>
    <w:qFormat/>
    <w:pPr>
      <w:numPr>
        <w:ilvl w:val="7"/>
        <w:numId w:val="1"/>
      </w:numPr>
      <w:spacing w:before="240" w:after="60"/>
      <w:outlineLvl w:val="7"/>
    </w:pPr>
    <w:rPr>
      <w:i/>
      <w:sz w:val="20"/>
    </w:rPr>
  </w:style>
  <w:style w:type="paragraph" w:styleId="Heading9">
    <w:name w:val="heading 9"/>
    <w:basedOn w:val="Normal"/>
    <w:next w:val="Normal"/>
    <w:qFormat/>
    <w:pPr>
      <w:numPr>
        <w:ilvl w:val="8"/>
        <w:numId w:val="1"/>
      </w:numPr>
      <w:spacing w:before="240" w:after="60"/>
      <w:outlineLvl w:val="8"/>
    </w:pPr>
    <w:rPr>
      <w:b/>
      <w:i/>
      <w:sz w:val="18"/>
    </w:rPr>
  </w:style>
  <w:style w:type="character" w:styleId="WW8Num1z0">
    <w:name w:val="WW8Num1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Times New Roman" w:hAnsi="Times New Roman" w:cs="Times New Roman"/>
    </w:rPr>
  </w:style>
  <w:style w:type="character" w:styleId="WW8Num13z0">
    <w:name w:val="WW8Num13z0"/>
    <w:qFormat/>
    <w:rPr>
      <w:rFonts w:ascii="Symbol" w:hAnsi="Symbol" w:cs="Symbol"/>
    </w:rPr>
  </w:style>
  <w:style w:type="character" w:styleId="WW8Num14z0">
    <w:name w:val="WW8Num14z0"/>
    <w:qFormat/>
    <w:rPr>
      <w:rFonts w:ascii="Symbol" w:hAnsi="Symbol" w:cs="Symbol"/>
    </w:rPr>
  </w:style>
  <w:style w:type="character" w:styleId="WW8NumSt18z0">
    <w:name w:val="WW8NumSt18z0"/>
    <w:qFormat/>
    <w:rPr>
      <w:rFonts w:ascii="Wingdings" w:hAnsi="Wingdings" w:cs="Wingdings"/>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geNumber">
    <w:name w:val="page number"/>
    <w:basedOn w:val="DefaultParagraphFont"/>
    <w:rPr/>
  </w:style>
  <w:style w:type="character" w:styleId="Hyperlink">
    <w:name w:val="Hyperlink"/>
    <w:rPr>
      <w:color w:val="000080"/>
      <w:u w:val="single"/>
    </w:rPr>
  </w:style>
  <w:style w:type="character" w:styleId="FootnoteReference">
    <w:name w:val="footnote reference"/>
    <w:rPr>
      <w:vertAlign w:val="superscript"/>
    </w:rPr>
  </w:style>
  <w:style w:type="character" w:styleId="IndexLink">
    <w:name w:val="Index Link"/>
    <w:qFormat/>
    <w:rPr/>
  </w:style>
  <w:style w:type="character" w:styleId="EndnoteReference">
    <w:name w:val="endnote reference"/>
    <w:rPr>
      <w:vertAlign w:val="superscript"/>
    </w:rPr>
  </w:style>
  <w:style w:type="character" w:styleId="EndnoteCharacters">
    <w:name w:val="Endnote Characters"/>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ind w:firstLine="720" w:start="0" w:end="0"/>
    </w:pPr>
    <w:rPr>
      <w:rFonts w:ascii="Times New Roman" w:hAnsi="Times New Roman" w:cs="Times New Roman"/>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FootnoteText">
    <w:name w:val="footnote text"/>
    <w:basedOn w:val="Normal"/>
    <w:pPr>
      <w:spacing w:lineRule="auto" w:line="240"/>
    </w:pPr>
    <w:rPr>
      <w:sz w:val="20"/>
    </w:rPr>
  </w:style>
  <w:style w:type="paragraph" w:styleId="EnvelopeAddress">
    <w:name w:val="envelope address"/>
    <w:basedOn w:val="Normal"/>
    <w:pPr>
      <w:spacing w:lineRule="auto" w:line="360"/>
      <w:ind w:hanging="0" w:start="2880" w:end="0"/>
    </w:pPr>
    <w:rPr/>
  </w:style>
  <w:style w:type="paragraph" w:styleId="BodyTextIndent">
    <w:name w:val="Body Text Indent"/>
    <w:basedOn w:val="Normal"/>
    <w:pPr>
      <w:ind w:firstLine="720" w:start="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spacing w:lineRule="auto" w:line="360"/>
      <w:ind w:firstLine="720" w:start="0" w:end="0"/>
    </w:pPr>
    <w:rPr>
      <w:rFonts w:ascii="Times New Roman" w:hAnsi="Times New Roman" w:cs="Times New Roman"/>
    </w:rPr>
  </w:style>
  <w:style w:type="paragraph" w:styleId="BodyTextIndent2">
    <w:name w:val="Body Text Indent 2"/>
    <w:basedOn w:val="Normal"/>
    <w:qFormat/>
    <w:pPr>
      <w:spacing w:lineRule="auto" w:line="360"/>
      <w:ind w:firstLine="720" w:start="0" w:end="0"/>
    </w:pPr>
    <w:rPr>
      <w:rFonts w:ascii="Times New Roman" w:hAnsi="Times New Roman" w:cs="Times New Roman"/>
    </w:rPr>
  </w:style>
  <w:style w:type="paragraph" w:styleId="BodyTextIndent3">
    <w:name w:val="Body Text Indent 3"/>
    <w:basedOn w:val="Normal"/>
    <w:qFormat/>
    <w:pPr>
      <w:spacing w:lineRule="auto" w:line="240"/>
      <w:ind w:hanging="0" w:start="720" w:end="0"/>
    </w:pPr>
    <w:rPr/>
  </w:style>
  <w:style w:type="paragraph" w:styleId="Footer">
    <w:name w:val="footer"/>
    <w:basedOn w:val="Normal"/>
    <w:pPr>
      <w:tabs>
        <w:tab w:val="clear" w:pos="720"/>
        <w:tab w:val="center" w:pos="4320" w:leader="none"/>
        <w:tab w:val="right" w:pos="8640" w:leader="none"/>
      </w:tabs>
    </w:pPr>
    <w:rPr/>
  </w:style>
  <w:style w:type="paragraph" w:styleId="TOC1">
    <w:name w:val="toc 1"/>
    <w:basedOn w:val="Normal"/>
    <w:next w:val="Normal"/>
    <w:pPr>
      <w:tabs>
        <w:tab w:val="clear" w:pos="720"/>
        <w:tab w:val="right" w:pos="8630" w:leader="dot"/>
      </w:tabs>
      <w:spacing w:lineRule="auto" w:line="240"/>
    </w:pPr>
    <w:rPr>
      <w:lang w:val="en-CA"/>
    </w:rPr>
  </w:style>
  <w:style w:type="paragraph" w:styleId="TOC2">
    <w:name w:val="toc 2"/>
    <w:basedOn w:val="Normal"/>
    <w:next w:val="Normal"/>
    <w:pPr>
      <w:ind w:hanging="0" w:start="240" w:end="0"/>
    </w:pPr>
    <w:rPr/>
  </w:style>
  <w:style w:type="paragraph" w:styleId="TOC3">
    <w:name w:val="toc 3"/>
    <w:basedOn w:val="Normal"/>
    <w:next w:val="Normal"/>
    <w:pPr>
      <w:ind w:hanging="0" w:start="480" w:end="0"/>
    </w:pPr>
    <w:rPr/>
  </w:style>
  <w:style w:type="paragraph" w:styleId="TOC4">
    <w:name w:val="toc 4"/>
    <w:basedOn w:val="Normal"/>
    <w:next w:val="Normal"/>
    <w:pPr>
      <w:ind w:hanging="0" w:start="720" w:end="0"/>
    </w:pPr>
    <w:rPr/>
  </w:style>
  <w:style w:type="paragraph" w:styleId="TOC5">
    <w:name w:val="toc 5"/>
    <w:basedOn w:val="Normal"/>
    <w:next w:val="Normal"/>
    <w:pPr>
      <w:ind w:hanging="0" w:start="960" w:end="0"/>
    </w:pPr>
    <w:rPr/>
  </w:style>
  <w:style w:type="paragraph" w:styleId="TOC6">
    <w:name w:val="toc 6"/>
    <w:basedOn w:val="Normal"/>
    <w:next w:val="Normal"/>
    <w:pPr>
      <w:ind w:hanging="0" w:start="1200" w:end="0"/>
    </w:pPr>
    <w:rPr/>
  </w:style>
  <w:style w:type="paragraph" w:styleId="TOC7">
    <w:name w:val="toc 7"/>
    <w:basedOn w:val="Normal"/>
    <w:next w:val="Normal"/>
    <w:pPr>
      <w:ind w:hanging="0" w:start="1440" w:end="0"/>
    </w:pPr>
    <w:rPr/>
  </w:style>
  <w:style w:type="paragraph" w:styleId="TOC8">
    <w:name w:val="toc 8"/>
    <w:basedOn w:val="Normal"/>
    <w:next w:val="Normal"/>
    <w:pPr>
      <w:ind w:hanging="0" w:start="1680" w:end="0"/>
    </w:pPr>
    <w:rPr/>
  </w:style>
  <w:style w:type="paragraph" w:styleId="TOC9">
    <w:name w:val="toc 9"/>
    <w:basedOn w:val="Normal"/>
    <w:next w:val="Normal"/>
    <w:pPr>
      <w:ind w:hanging="0" w:start="1920" w:end="0"/>
    </w:pPr>
    <w:rPr/>
  </w:style>
  <w:style w:type="paragraph" w:styleId="BlockText">
    <w:name w:val="Block Text"/>
    <w:basedOn w:val="Normal"/>
    <w:qFormat/>
    <w:pPr>
      <w:spacing w:lineRule="auto" w:line="240" w:before="180" w:after="0"/>
      <w:ind w:hanging="0" w:start="576" w:end="576"/>
    </w:pPr>
    <w:rPr>
      <w:rFonts w:ascii="Times New Roman" w:hAnsi="Times New Roman" w:cs="Times New Roman"/>
    </w:rPr>
  </w:style>
  <w:style w:type="paragraph" w:styleId="PlainText">
    <w:name w:val="Plain Text"/>
    <w:basedOn w:val="Normal"/>
    <w:qFormat/>
    <w:pPr>
      <w:spacing w:lineRule="auto" w:line="360"/>
    </w:pPr>
    <w:rPr>
      <w:rFonts w:ascii="Times New Roman" w:hAnsi="Times New Roman" w:cs="Times New Roman"/>
    </w:rPr>
  </w:style>
  <w:style w:type="paragraph" w:styleId="ListBullet2">
    <w:name w:val="List Bullet 2"/>
    <w:basedOn w:val="Normal"/>
    <w:qFormat/>
    <w:pPr>
      <w:numPr>
        <w:ilvl w:val="0"/>
        <w:numId w:val="2"/>
      </w:numPr>
    </w:pPr>
    <w:rPr>
      <w:rFonts w:ascii="Times New Roman" w:hAnsi="Times New Roman" w:cs="Times New Roman"/>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 w:type="numbering" w:styleId="WW8Num13">
    <w:name w:val="WW8Num13"/>
    <w:qFormat/>
  </w:style>
  <w:style w:type="numbering" w:styleId="WW8Num14">
    <w:name w:val="WW8Num14"/>
    <w:qFormat/>
  </w:style>
  <w:style w:type="numbering" w:styleId="WW8Num15">
    <w:name w:val="WW8Num15"/>
    <w:qFormat/>
  </w:style>
  <w:style w:type="numbering" w:styleId="WW8Num16">
    <w:name w:val="WW8Num16"/>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footer" Target="footer3.xml"/><Relationship Id="rId5" Type="http://schemas.openxmlformats.org/officeDocument/2006/relationships/footer" Target="footer4.xml"/><Relationship Id="rId6" Type="http://schemas.openxmlformats.org/officeDocument/2006/relationships/footer" Target="footer5.xml"/><Relationship Id="rId7" Type="http://schemas.openxmlformats.org/officeDocument/2006/relationships/footnotes" Target="footnotes.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333</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2000-07-10T12:13:00Z</dcterms:created>
  <dc:creator>Marcel Hawiger</dc:creator>
  <dc:description/>
  <dc:language>en-CA</dc:language>
  <cp:lastModifiedBy>Marcel Hawiger</cp:lastModifiedBy>
  <cp:lastPrinted>2000-07-10T15:49:00Z</cp:lastPrinted>
  <dcterms:modified xsi:type="dcterms:W3CDTF">2000-07-10T21:29:00Z</dcterms:modified>
  <cp:revision>48</cp:revision>
  <dc:subject/>
  <dc:title>I</dc:title>
</cp:coreProperties>
</file>