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THE “CUSTOMER FIRST” OPEN SEASON PROVIDES A UNIQUE BENEFIT TO EXISTING SOCALGAS CUSTOMERS AND LIMITS THE RISK OF MARKET CONCENTRATION AT ANY RECEIPT POINT.</w:t>
      </w:r>
    </w:p>
    <w:p>
      <w:pPr>
        <w:pStyle w:val="Normal"/>
        <w:jc w:val="center"/>
        <w:rPr>
          <w:u w:val="none"/>
        </w:rPr>
      </w:pPr>
      <w:r>
        <w:rPr>
          <w:u w:val="none"/>
        </w:rPr>
      </w:r>
    </w:p>
    <w:p>
      <w:pPr>
        <w:pStyle w:val="Heading2"/>
        <w:numPr>
          <w:ilvl w:val="0"/>
          <w:numId w:val="3"/>
        </w:numPr>
        <w:rPr/>
      </w:pPr>
      <w:r>
        <w:rPr/>
        <w:t>Introduction</w:t>
      </w:r>
    </w:p>
    <w:p>
      <w:pPr>
        <w:pStyle w:val="Normal"/>
        <w:rPr>
          <w:b/>
          <w:bCs/>
          <w:smallCaps/>
        </w:rPr>
      </w:pPr>
      <w:r>
        <w:rPr>
          <w:b/>
          <w:bCs/>
          <w:smallCaps/>
        </w:rPr>
      </w:r>
    </w:p>
    <w:p>
      <w:pPr>
        <w:pStyle w:val="Normal"/>
        <w:rPr/>
      </w:pPr>
      <w:r>
        <w:rPr>
          <w:bCs/>
        </w:rPr>
        <w:t xml:space="preserve">The unbundling of intrastate backbone transmission capacity presents an opportunity for a more efficient California natural gas market by permitting both customers and suppliers to hold the capacity and optimize its use.  These efficiencies are discussed in greater detail in Chapter </w:t>
      </w:r>
      <w:r>
        <w:rPr>
          <w:b/>
        </w:rPr>
        <w:t xml:space="preserve">[Dasovich].  </w:t>
      </w:r>
      <w:r>
        <w:rPr>
          <w:bCs/>
        </w:rPr>
        <w:t>Along with these opportunities, however, come a risk inherent in any market – the risk that large aggregators could obtain and exercise market power in the new market for transmission capacity.  Moreover, the unbundling of capacity could result in a reduction in number of buyers in the California market and consequently could reduce liquidity in the California market.</w:t>
      </w:r>
    </w:p>
    <w:p>
      <w:pPr>
        <w:pStyle w:val="Normal"/>
        <w:rPr>
          <w:bCs/>
        </w:rPr>
      </w:pPr>
      <w:r>
        <w:rPr>
          <w:bCs/>
        </w:rPr>
      </w:r>
    </w:p>
    <w:p>
      <w:pPr>
        <w:pStyle w:val="Normal"/>
        <w:rPr/>
      </w:pPr>
      <w:r>
        <w:rPr/>
        <w:t>The Comprehensive Settlement recognizes these potential risks and takes steps toward their mitigation in the allocation of backbone capacity.  Specifically, the settlement:</w:t>
      </w:r>
    </w:p>
    <w:p>
      <w:pPr>
        <w:pStyle w:val="Normal"/>
        <w:rPr/>
      </w:pPr>
      <w:r>
        <w:rPr/>
      </w:r>
    </w:p>
    <w:p>
      <w:pPr>
        <w:pStyle w:val="Normal"/>
        <w:numPr>
          <w:ilvl w:val="0"/>
          <w:numId w:val="5"/>
        </w:numPr>
        <w:rPr/>
      </w:pPr>
      <w:r>
        <w:rPr/>
        <w:t>Allocates directly to core customers a specified volume of receipt point-specific transmission capacity before making the capacity available to the market generally;</w:t>
      </w:r>
    </w:p>
    <w:p>
      <w:pPr>
        <w:pStyle w:val="Normal"/>
        <w:rPr/>
      </w:pPr>
      <w:r>
        <w:rPr/>
      </w:r>
    </w:p>
    <w:p>
      <w:pPr>
        <w:pStyle w:val="Normal"/>
        <w:numPr>
          <w:ilvl w:val="0"/>
          <w:numId w:val="6"/>
        </w:numPr>
        <w:rPr/>
      </w:pPr>
      <w:r>
        <w:rPr/>
        <w:t>Establishes a three-round Open Season in which noncore customers or their suppliers must compete for available capacity, with proration rules when demand exceeds the availability of capacity;</w:t>
      </w:r>
    </w:p>
    <w:p>
      <w:pPr>
        <w:pStyle w:val="Normal"/>
        <w:ind w:start="360" w:end="0"/>
        <w:rPr/>
      </w:pPr>
      <w:r>
        <w:rPr/>
      </w:r>
    </w:p>
    <w:p>
      <w:pPr>
        <w:pStyle w:val="Normal"/>
        <w:numPr>
          <w:ilvl w:val="0"/>
          <w:numId w:val="4"/>
        </w:numPr>
        <w:rPr/>
      </w:pPr>
      <w:r>
        <w:rPr/>
        <w:t>Reserves the first two rounds of the Open Season as a “customer” Open Season that maximizes existing customers’ opportunity to acquire capacity to serve their historical demand before making the capacity available more broadly to the market; and</w:t>
      </w:r>
    </w:p>
    <w:p>
      <w:pPr>
        <w:pStyle w:val="Normal"/>
        <w:ind w:start="360" w:end="0"/>
        <w:rPr/>
      </w:pPr>
      <w:r>
        <w:rPr/>
      </w:r>
    </w:p>
    <w:p>
      <w:pPr>
        <w:pStyle w:val="Normal"/>
        <w:numPr>
          <w:ilvl w:val="0"/>
          <w:numId w:val="4"/>
        </w:numPr>
        <w:rPr/>
      </w:pPr>
      <w:r>
        <w:rPr/>
        <w:t>Places a limit on ownership by any party of 40% at any receipt point in the primary market for capacity.</w:t>
      </w:r>
    </w:p>
    <w:p>
      <w:pPr>
        <w:pStyle w:val="Normal"/>
        <w:rPr/>
      </w:pPr>
      <w:r>
        <w:rPr/>
      </w:r>
    </w:p>
    <w:p>
      <w:pPr>
        <w:pStyle w:val="Normal"/>
        <w:rPr/>
      </w:pPr>
      <w:r>
        <w:rPr/>
        <w:t>Each of these features, which are described further below, minimizes the risk of market concentration in the primary market and consequently maximizes market liquidity – results which are in the public interest.</w:t>
      </w:r>
      <w:r>
        <w:br w:type="page"/>
      </w:r>
    </w:p>
    <w:p>
      <w:pPr>
        <w:pStyle w:val="Normal"/>
        <w:rPr/>
      </w:pPr>
      <w:r>
        <w:rPr/>
      </w:r>
    </w:p>
    <w:p>
      <w:pPr>
        <w:pStyle w:val="Normal"/>
        <w:rPr/>
      </w:pPr>
      <w:r>
        <w:rPr/>
      </w:r>
    </w:p>
    <w:p>
      <w:pPr>
        <w:pStyle w:val="Heading2"/>
        <w:numPr>
          <w:ilvl w:val="0"/>
          <w:numId w:val="3"/>
        </w:numPr>
        <w:rPr/>
      </w:pPr>
      <w:r>
        <w:rPr/>
        <w:t xml:space="preserve">The Capacity Allocation Process is Designed to Limit Market Concentration and Maximize Liquidity. </w:t>
      </w:r>
    </w:p>
    <w:p>
      <w:pPr>
        <w:pStyle w:val="Normal"/>
        <w:ind w:hanging="720" w:start="720" w:end="0"/>
        <w:rPr/>
      </w:pPr>
      <w:r>
        <w:rPr/>
      </w:r>
    </w:p>
    <w:p>
      <w:pPr>
        <w:pStyle w:val="Normal"/>
        <w:ind w:hanging="720" w:start="1440" w:end="0"/>
        <w:rPr>
          <w:b/>
          <w:bCs/>
        </w:rPr>
      </w:pPr>
      <w:r>
        <w:rPr>
          <w:b/>
          <w:bCs/>
        </w:rPr>
        <w:t>A.</w:t>
        <w:tab/>
        <w:t>Pre-Open Season Allocations</w:t>
      </w:r>
    </w:p>
    <w:p>
      <w:pPr>
        <w:pStyle w:val="Normal"/>
        <w:ind w:hanging="720" w:start="1440" w:end="0"/>
        <w:rPr>
          <w:b/>
          <w:bCs/>
        </w:rPr>
      </w:pPr>
      <w:r>
        <w:rPr>
          <w:b/>
          <w:bCs/>
        </w:rPr>
      </w:r>
    </w:p>
    <w:p>
      <w:pPr>
        <w:pStyle w:val="Normal"/>
        <w:rPr/>
      </w:pPr>
      <w:r>
        <w:rPr/>
        <w:t xml:space="preserve">Prior to the Open Season, firm backbone transmission capacity rights on the SoCalGas system will be assigned to SoCalGas’ Gas Acquisition Department in order to meet the demand of core customers taking procurement services from them.  As well, firm backbone transmission capacity on the SoCalGas system will be offered to wholesale customers, Core Transport Agents (CTAs), and existing California producers.  Remaining firm backbone transmission capacity not assigned to the Gas Acquisition Department, wholesale customers, CTAs, and existing California producers in this pre-Open Season process will be allocated through the Open Season Process.  This initial allocation, along with further steps in the Open Season Process, described in Sections C and III below, limits the amount of capacity to which a single party might succeed in controlling.  </w:t>
      </w:r>
    </w:p>
    <w:p>
      <w:pPr>
        <w:pStyle w:val="Normal"/>
        <w:ind w:start="720" w:end="0"/>
        <w:rPr>
          <w:b/>
          <w:bCs/>
        </w:rPr>
      </w:pPr>
      <w:r>
        <w:rPr>
          <w:b/>
          <w:bCs/>
        </w:rPr>
      </w:r>
    </w:p>
    <w:p>
      <w:pPr>
        <w:pStyle w:val="Normal"/>
        <w:ind w:start="720" w:end="0"/>
        <w:rPr>
          <w:b/>
          <w:bCs/>
        </w:rPr>
      </w:pPr>
      <w:r>
        <w:rPr>
          <w:b/>
          <w:bCs/>
        </w:rPr>
        <w:t>B.</w:t>
        <w:tab/>
        <w:t>The “Noncore” Open Season</w:t>
      </w:r>
    </w:p>
    <w:p>
      <w:pPr>
        <w:pStyle w:val="Normal"/>
        <w:ind w:hanging="720" w:start="1440" w:end="0"/>
        <w:rPr>
          <w:b/>
          <w:bCs/>
        </w:rPr>
      </w:pPr>
      <w:r>
        <w:rPr>
          <w:b/>
          <w:bCs/>
        </w:rPr>
      </w:r>
    </w:p>
    <w:p>
      <w:pPr>
        <w:pStyle w:val="Normal"/>
        <w:rPr/>
      </w:pPr>
      <w:r>
        <w:rPr/>
        <w:t>Capacity available after the pre-Open Season allocations becomes available to noncore customers and/or their suppliers in a three-stage Open Season.  The stages are established as described below.</w:t>
      </w:r>
    </w:p>
    <w:p>
      <w:pPr>
        <w:pStyle w:val="Normal"/>
        <w:rPr/>
      </w:pPr>
      <w:r>
        <w:rPr/>
      </w:r>
    </w:p>
    <w:p>
      <w:pPr>
        <w:pStyle w:val="Normal"/>
        <w:rPr/>
      </w:pPr>
      <w:r>
        <w:rPr>
          <w:b/>
          <w:bCs/>
        </w:rPr>
        <w:t>“</w:t>
      </w:r>
      <w:r>
        <w:rPr>
          <w:b/>
          <w:bCs/>
        </w:rPr>
        <w:t>Customer” Stage One.</w:t>
      </w:r>
      <w:r>
        <w:rPr/>
        <w:t xml:space="preserve">  Fifty percent of capacity that is to be distributed in the Open Season will be made available at each receipt point in the first and second stages.  In the first stage, existing noncore (including wholesale) customers may reserve transmission rights only up to the amount of their historical load, and existing CTAs may reserve only up to the amount of their currently-contracted-for load.  Agents of contracted marketers may act on behalf of their non-core customers in bidding for or obtaining capacity.  Customers may assign their capacity rights secured in the first and second stages of the Open Season to third parties, such as marketers.  Marketers are not eligible to participate in the first and second stages of the initial Open Season.    </w:t>
      </w:r>
    </w:p>
    <w:p>
      <w:pPr>
        <w:pStyle w:val="Normal"/>
        <w:rPr/>
      </w:pPr>
      <w:r>
        <w:rPr/>
      </w:r>
    </w:p>
    <w:p>
      <w:pPr>
        <w:pStyle w:val="Normal"/>
        <w:rPr/>
      </w:pPr>
      <w:r>
        <w:rPr/>
        <w:t xml:space="preserve">Customers may bid for any term length up to the full remaining term of the Comprehensive Settlement.  In all stages of the initial Open Season, customers will choose to bid either a 100% reservation charge rate design at a postage stamp rate of $0.7191 per dth or a 50% reservation charge/50% volumetric charge rate design at $0.7591 per dth (with a special exception for capacity offered on a seasonal basis).  Neither rate design will be preferred over the other, but if more volume is bid than is available at a particular receipt point at a particular stage in the initial Open Season, then capacity will be awarded to the customer which bid the longest term.  In stages one and two of the initial Open Season, bids for daily capacity for a term of one year or more will be given preference over bids for seasonal capacity.  If two or more customers bid for more capacity than is available at a particular receipt point at a particular stage and bid for identical term lengths, then capacity will be awarded to each proportionate to the amount bid at that receipt point and in that stage of the Open Season.  </w:t>
      </w:r>
    </w:p>
    <w:p>
      <w:pPr>
        <w:pStyle w:val="Normal"/>
        <w:rPr/>
      </w:pPr>
      <w:r>
        <w:rPr/>
      </w:r>
    </w:p>
    <w:p>
      <w:pPr>
        <w:pStyle w:val="Normal"/>
        <w:rPr/>
      </w:pPr>
      <w:r>
        <w:rPr>
          <w:b/>
          <w:bCs/>
        </w:rPr>
        <w:t>“</w:t>
      </w:r>
      <w:r>
        <w:rPr>
          <w:b/>
          <w:bCs/>
        </w:rPr>
        <w:t>Customer” Stage Two.</w:t>
      </w:r>
      <w:r>
        <w:rPr/>
        <w:t xml:space="preserve">  Capacity not subscribed in stage one will be offered in Stage Two.  Only customers who were eligible to participate in the first stage may participate in the second stage.  The procedures for Stage Two will mirror stage one.</w:t>
      </w:r>
    </w:p>
    <w:p>
      <w:pPr>
        <w:pStyle w:val="Normal"/>
        <w:rPr/>
      </w:pPr>
      <w:r>
        <w:rPr/>
      </w:r>
    </w:p>
    <w:p>
      <w:pPr>
        <w:pStyle w:val="Normal"/>
        <w:rPr/>
      </w:pPr>
      <w:r>
        <w:rPr>
          <w:b/>
          <w:bCs/>
        </w:rPr>
        <w:t>All Market Participants Stage Three.</w:t>
      </w:r>
      <w:r>
        <w:rPr/>
        <w:t xml:space="preserve">  The reserved fifty percent of capacity at each receipt point remaining after the SoCalGas Acquisition Department, CTAs, and wholesale core customers have scheduled transmission, plus any unsubscribed capacity remaining from “Customer” Stages One and Two, will be available in Stage Three.  All market participants are eligible to participate in Stage Three – any customer who was eligible to participate in Stages One and Two of the initial Open Season and any “creditworthy person,” as defined in section 1.2.3.2 of the Comprehensive Settlement, may participate in this final stage of the initial Open Season.  At least 20% of the capacity at each receipt point must be bid for a term of only one year; all remaining capacity may be bid for the full term of this Settlement.  Except for the limitation to historical demand, the rules pertaining to allocation of capacity in Stages One and Two apply to Stage Three.</w:t>
      </w:r>
    </w:p>
    <w:p>
      <w:pPr>
        <w:pStyle w:val="Normal"/>
        <w:rPr>
          <w:rFonts w:eastAsia="Arial"/>
        </w:rPr>
      </w:pPr>
      <w:r>
        <w:rPr>
          <w:rFonts w:eastAsia="Arial"/>
        </w:rPr>
        <w:t xml:space="preserve"> </w:t>
      </w:r>
    </w:p>
    <w:p>
      <w:pPr>
        <w:pStyle w:val="BodyText"/>
        <w:ind w:hanging="720" w:start="1440" w:end="0"/>
        <w:rPr>
          <w:b w:val="false"/>
          <w:bCs w:val="false"/>
        </w:rPr>
      </w:pPr>
      <w:r>
        <w:rPr/>
        <w:t>C.</w:t>
        <w:tab/>
        <w:t xml:space="preserve">The Open Season Serves the Public Interest by Maximizing the Opportunity for Existing Transportation Customers to Obtain Capacity, Enhancing Liquidity and Reducing the Potential for Market Concentration.  </w:t>
      </w:r>
    </w:p>
    <w:p>
      <w:pPr>
        <w:pStyle w:val="BodyText"/>
        <w:rPr>
          <w:b w:val="false"/>
          <w:bCs w:val="false"/>
        </w:rPr>
      </w:pPr>
      <w:r>
        <w:rPr>
          <w:b w:val="false"/>
          <w:bCs w:val="false"/>
        </w:rPr>
      </w:r>
    </w:p>
    <w:p>
      <w:pPr>
        <w:pStyle w:val="BodyText"/>
        <w:rPr>
          <w:b w:val="false"/>
          <w:bCs w:val="false"/>
        </w:rPr>
      </w:pPr>
      <w:r>
        <w:rPr>
          <w:b w:val="false"/>
          <w:bCs w:val="false"/>
        </w:rPr>
        <w:t xml:space="preserve">Market liquidity is the state in the market in which there are a large number of buyers and a large number of sellers, and all buyers and sellers have equal access to all information necessary to the purchase or sale of the commodity.  Specifically, market liquidity is measured by the difference between the cost of purchasing the commodity and the cost of selling the commodity; the greater the difference between the purchase and sale costs, the less “liquid” the market.  Conversely, the smaller the difference between the purchase and sale costs, the more “liquid” the market.  Therefore, market liquidity is achieved by maximizing the number of buyers and sellers in the market.  In a liquid market, prices will not be artificially high as a result of any particular participant’s gaming.  As the number of sales and purchases increases, price distortion is less likely to occur, and accurate market prices will be reflected in the price charged to consumers.  </w:t>
      </w:r>
    </w:p>
    <w:p>
      <w:pPr>
        <w:pStyle w:val="BodyText"/>
        <w:rPr>
          <w:b w:val="false"/>
          <w:bCs w:val="false"/>
        </w:rPr>
      </w:pPr>
      <w:r>
        <w:rPr>
          <w:b w:val="false"/>
          <w:bCs w:val="false"/>
        </w:rPr>
      </w:r>
    </w:p>
    <w:p>
      <w:pPr>
        <w:pStyle w:val="BodyText"/>
        <w:rPr>
          <w:b w:val="false"/>
          <w:bCs w:val="false"/>
        </w:rPr>
      </w:pPr>
      <w:r>
        <w:rPr>
          <w:b w:val="false"/>
          <w:bCs w:val="false"/>
        </w:rPr>
        <w:t xml:space="preserve">The Open Season is designed to maximize the opportunity for both customers and marketers to acquire capacity rights, and thus to maximize the number of participants.  The Open Season is divided into three stages so that no market participant, such as marketers or large customers, is excluded. The Open Season divides capacity into several segments so that purchasers of smaller amounts of capacity have a reasonable chance of reserving capacity in a market that may include speculative buyers.  </w:t>
      </w:r>
    </w:p>
    <w:p>
      <w:pPr>
        <w:pStyle w:val="BodyText"/>
        <w:rPr>
          <w:b w:val="false"/>
          <w:bCs w:val="false"/>
        </w:rPr>
      </w:pPr>
      <w:r>
        <w:rPr>
          <w:b w:val="false"/>
          <w:bCs w:val="false"/>
        </w:rPr>
      </w:r>
    </w:p>
    <w:p>
      <w:pPr>
        <w:pStyle w:val="BodyText"/>
        <w:rPr>
          <w:b w:val="false"/>
          <w:bCs w:val="false"/>
        </w:rPr>
      </w:pPr>
      <w:r>
        <w:rPr>
          <w:b w:val="false"/>
          <w:bCs w:val="false"/>
        </w:rPr>
        <w:t xml:space="preserve">The prospect of a customer acquiring capacity is enhanced by the “customer first” stages of the open season.  As described above, in the first two stages of the Open Season, current SoCalGas customers have an opportunity to acquire a portion of capacity to meet their demand without competing in the initial stage against large customers speculating in large blocks of capacity in excess of historical requirements or marketers.  Customers can request capacity sufficient to meet their load, and, in the absence of institutional capacity brokers, have a feasible opportunity of reserving capacity if they choose.  </w:t>
      </w:r>
    </w:p>
    <w:p>
      <w:pPr>
        <w:pStyle w:val="BodyText"/>
        <w:rPr>
          <w:b w:val="false"/>
          <w:bCs w:val="false"/>
        </w:rPr>
      </w:pPr>
      <w:r>
        <w:rPr>
          <w:b w:val="false"/>
          <w:bCs w:val="false"/>
        </w:rPr>
      </w:r>
    </w:p>
    <w:p>
      <w:pPr>
        <w:pStyle w:val="BodyText"/>
        <w:rPr>
          <w:b w:val="false"/>
          <w:bCs w:val="false"/>
        </w:rPr>
      </w:pPr>
      <w:r>
        <w:rPr>
          <w:b w:val="false"/>
          <w:bCs w:val="false"/>
        </w:rPr>
        <w:t xml:space="preserve">The purpose of structuring the Open Season this way is to maximize the number of customers that participate.  Greater numbers of buyers at the city gate enhance the liquidity balance.  </w:t>
      </w:r>
    </w:p>
    <w:p>
      <w:pPr>
        <w:pStyle w:val="BodyText"/>
        <w:rPr>
          <w:b w:val="false"/>
          <w:bCs w:val="false"/>
        </w:rPr>
      </w:pPr>
      <w:r>
        <w:rPr>
          <w:b w:val="false"/>
          <w:bCs w:val="false"/>
        </w:rPr>
      </w:r>
    </w:p>
    <w:p>
      <w:pPr>
        <w:pStyle w:val="Normal"/>
        <w:rPr/>
      </w:pPr>
      <w:r>
        <w:rPr/>
        <w:t xml:space="preserve">Other features of the Open Season should also increase participation by customers and thus increase liquidity.  </w:t>
      </w:r>
    </w:p>
    <w:p>
      <w:pPr>
        <w:pStyle w:val="Normal"/>
        <w:rPr/>
      </w:pPr>
      <w:r>
        <w:rPr/>
      </w:r>
    </w:p>
    <w:p>
      <w:pPr>
        <w:pStyle w:val="Normal"/>
        <w:numPr>
          <w:ilvl w:val="0"/>
          <w:numId w:val="2"/>
        </w:numPr>
        <w:rPr/>
      </w:pPr>
      <w:r>
        <w:rPr/>
        <w:t xml:space="preserve">Customers may choose between a rate design based solely on a reservation charge of $0.07191 per dth (subject to a standard annual escalation) or a rate design with a 50% reservation charge and a 50% volumetric charge, both of which are set at $0.07591 per dth.  Customers may even use both rate designs for separate amounts of capacity at a single receipt point.  Additionally, customers on the SoCalGas system may choose a rate design based on seasonal capacity, that is, based on 120% of $0.07191 per dth, with a 100% reservation charge rate design; a 50/50 rate design is not offered for seasonal capacity.  This supply of options was designed to increase customer participation by giving customers a range of services from which to choose and best tailor their supply portfolios.  </w:t>
      </w:r>
    </w:p>
    <w:p>
      <w:pPr>
        <w:pStyle w:val="Normal"/>
        <w:rPr/>
      </w:pPr>
      <w:r>
        <w:rPr/>
      </w:r>
    </w:p>
    <w:p>
      <w:pPr>
        <w:pStyle w:val="Normal"/>
        <w:numPr>
          <w:ilvl w:val="0"/>
          <w:numId w:val="2"/>
        </w:numPr>
        <w:rPr/>
      </w:pPr>
      <w:r>
        <w:rPr/>
        <w:t xml:space="preserve">The Comprehensive Settlement provides that CTAs too may request capacity.  Under this settlement, CTAs will have more flexibility in managing their portfolios, in that they will have more flexibility to buy and sell transmission and storage when these services are unbundled.  CTAs can therefore maneuver to provide the lowest cost portfolio, to the benefit of core consumers.  </w:t>
      </w:r>
    </w:p>
    <w:p>
      <w:pPr>
        <w:pStyle w:val="Normal"/>
        <w:rPr/>
      </w:pPr>
      <w:r>
        <w:rPr/>
      </w:r>
    </w:p>
    <w:p>
      <w:pPr>
        <w:pStyle w:val="Normal"/>
        <w:numPr>
          <w:ilvl w:val="0"/>
          <w:numId w:val="2"/>
        </w:numPr>
        <w:rPr/>
      </w:pPr>
      <w:r>
        <w:rPr/>
        <w:t xml:space="preserve">The Open Season process has already established the price for capacity, which avoids the bidding frenzy of a blind auction.  This design will enhance liquidity because it will allow new entrants a reasonable chance of actually acquiring intrastate backbone capacity.  To the degree that any market participant values capacity at an over-subscribed receipt point, it can succeed to that capacity by requesting for a longer term (see “’Customer’ Stage One,” above).  As described above, if two or more participants request for identical term lengths at an over-subscribed receipt point, each of the requesting parties is awarded capacity proportional to the amount for which it bid for that receipt point.  This methodology ensures that no </w:t>
      </w:r>
      <w:r>
        <w:rPr>
          <w:i/>
          <w:iCs/>
        </w:rPr>
        <w:t>single</w:t>
      </w:r>
      <w:r>
        <w:rPr/>
        <w:t xml:space="preserve"> bidder succeeds to all capacity simply because it is willing to game the Open Season bidding process.  Instead, as many bidders that bid for equal term lengths will succeed to capacity in proportion to the amount originally bid, again maximizing the number of market participants and enhancing market liquidity.  </w:t>
      </w:r>
    </w:p>
    <w:p>
      <w:pPr>
        <w:pStyle w:val="Normal"/>
        <w:rPr/>
      </w:pPr>
      <w:r>
        <w:rPr/>
      </w:r>
    </w:p>
    <w:p>
      <w:pPr>
        <w:pStyle w:val="Normal"/>
        <w:numPr>
          <w:ilvl w:val="0"/>
          <w:numId w:val="2"/>
        </w:numPr>
        <w:rPr/>
      </w:pPr>
      <w:r>
        <w:rPr/>
        <w:t>The Comprehensive Settlement sets aside a block of capacity in the initial Open Season that will be available solely for a term of one year.  By making this reservation, the settlement once again limits the ability of a single market participant to gain access to concentrated blocks of capacity by bidding for longer terms.</w:t>
      </w:r>
    </w:p>
    <w:p>
      <w:pPr>
        <w:pStyle w:val="Normal"/>
        <w:rPr/>
      </w:pPr>
      <w:r>
        <w:rPr/>
      </w:r>
    </w:p>
    <w:p>
      <w:pPr>
        <w:pStyle w:val="Normal"/>
        <w:numPr>
          <w:ilvl w:val="0"/>
          <w:numId w:val="2"/>
        </w:numPr>
        <w:rPr/>
      </w:pPr>
      <w:r>
        <w:rPr/>
        <w:t xml:space="preserve">The Comprehensive Settlement also provides for a secondary market as early as the conclusion of the initial Open Season.  Participants that reserved capacity in the first two stages of the Open Season may assign their rights to capacity in the secondary market, and buyers in the secondary market do not face the 40 percent maximum capacity limitation at each receipt point, as noted below.  Greater numbers of transactions further enhance market liquidity, and the number of sales and purchases of capacity in the secondary market are without limit.  </w:t>
      </w:r>
    </w:p>
    <w:p>
      <w:pPr>
        <w:pStyle w:val="Normal"/>
        <w:rPr/>
      </w:pPr>
      <w:r>
        <w:rPr/>
      </w:r>
    </w:p>
    <w:p>
      <w:pPr>
        <w:pStyle w:val="Normal"/>
        <w:rPr/>
      </w:pPr>
      <w:r>
        <w:rPr/>
        <w:t>Each of these features takes a step toward inviting both customer and marketer participation in the Open Season.  These features should work together to maximize participation and thus enhance liquidity.</w:t>
      </w:r>
    </w:p>
    <w:p>
      <w:pPr>
        <w:pStyle w:val="Normal"/>
        <w:rPr/>
      </w:pPr>
      <w:r>
        <w:rPr/>
      </w:r>
    </w:p>
    <w:p>
      <w:pPr>
        <w:pStyle w:val="Normal"/>
        <w:ind w:hanging="720" w:start="720" w:end="0"/>
        <w:rPr/>
      </w:pPr>
      <w:r>
        <w:rPr>
          <w:b/>
          <w:bCs/>
        </w:rPr>
        <w:t>III.</w:t>
        <w:tab/>
        <w:t>T</w:t>
      </w:r>
      <w:r>
        <w:rPr>
          <w:b/>
          <w:bCs/>
          <w:smallCaps/>
        </w:rPr>
        <w:t>he Comprehensive Settlement Expressly Limits Market Concentration in the Primary Market.</w:t>
      </w:r>
    </w:p>
    <w:p>
      <w:pPr>
        <w:pStyle w:val="Normal"/>
        <w:ind w:start="720" w:end="0"/>
        <w:rPr>
          <w:rFonts w:eastAsia="Arial"/>
        </w:rPr>
      </w:pPr>
      <w:r>
        <w:rPr>
          <w:rFonts w:eastAsia="Arial"/>
        </w:rPr>
        <w:t xml:space="preserve"> </w:t>
      </w:r>
    </w:p>
    <w:p>
      <w:pPr>
        <w:pStyle w:val="Normal"/>
        <w:rPr/>
      </w:pPr>
      <w:r>
        <w:rPr/>
        <w:t xml:space="preserve">Market liquidity is enhanced by maximizing the number of buyers and sellers in the market at any given time.  Market concentration in the holding of transmission capacity would impair that goal by minimizing the number of “buyers” of gas at the California border.  The Comprehensive Settlement takes a step to limit concentration by placing volume ceilings on capacity awarded to any party at any receipt point to 40% of the total open season volumes.   </w:t>
      </w:r>
    </w:p>
    <w:p>
      <w:pPr>
        <w:pStyle w:val="Normal"/>
        <w:rPr/>
      </w:pPr>
      <w:r>
        <w:rPr/>
      </w:r>
    </w:p>
    <w:p>
      <w:pPr>
        <w:pStyle w:val="Normal"/>
        <w:rPr/>
      </w:pPr>
      <w:r>
        <w:rPr/>
        <w:t xml:space="preserve">The express 40% market concentration limit at each receipt point directly limits the ability of any market participant to gain market power control of capacity.  Even if an existing customer bids an amount equal to its full historical load, and even if its historical load exceeds 40% of a receipt point’s capability, it cannot succeed to more than 40% of any single receipt point’s capability at each stage of the initial Open Season.  At the end of the initial Open Season, no market participant will possess more than 40% of any given receipt point’s capability, even if all allowed capacity is bid by that participant.  Therefore, before the secondary market opens up, no market participant will have gained any meaningful market power control over capacity on the SoCalGas intrastate backbone system.  </w:t>
      </w:r>
    </w:p>
    <w:p>
      <w:pPr>
        <w:pStyle w:val="Normal"/>
        <w:rPr/>
      </w:pPr>
      <w:r>
        <w:rPr/>
      </w:r>
    </w:p>
    <w:p>
      <w:pPr>
        <w:pStyle w:val="Normal"/>
        <w:rPr/>
      </w:pPr>
      <w:r>
        <w:rPr/>
        <w:t>As noted above, the concentration limit applies only in the primary market.  There are currently no controls in these rules against market concentration in the secondary market.  While the unconstricted nature of the secondary market will facilitate more and new entrants in the capacity market, this fluid quality nevertheless creates a risk of concentration, insofar as capacity that was awarded in the initial Open Season may be assigned to any creditworthy market participant and without market share limits.  Indeed, the Comprehensive Settlement does not provide for a mandatory electronic bulletin board for secondary market trades and, accordingly, tracking secondary market trades would be complicated and administratively infeasible.  Nonetheless, the Commission should remain cognizant of the risk of market concentration and commit to respond to any such complaints raised by market participants.</w:t>
      </w:r>
    </w:p>
    <w:p>
      <w:pPr>
        <w:pStyle w:val="Normal"/>
        <w:rPr/>
      </w:pPr>
      <w:r>
        <w:rPr/>
      </w:r>
    </w:p>
    <w:p>
      <w:pPr>
        <w:pStyle w:val="Normal"/>
        <w:rPr>
          <w:rFonts w:eastAsia="Arial"/>
        </w:rPr>
      </w:pPr>
      <w:r>
        <w:rPr>
          <w:rFonts w:eastAsia="Arial"/>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upperRoman"/>
      <w:lvlText w:val="%1."/>
      <w:lvlJc w:val="start"/>
      <w:pPr>
        <w:tabs>
          <w:tab w:val="num" w:pos="1080"/>
        </w:tabs>
        <w:ind w:start="1080" w:hanging="720"/>
      </w:pPr>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0"/>
        <w:numId w:val="3"/>
      </w:numPr>
      <w:tabs>
        <w:tab w:val="left" w:pos="720" w:leader="none"/>
      </w:tabs>
      <w:ind w:hanging="0" w:start="720" w:end="0"/>
      <w:outlineLvl w:val="1"/>
    </w:pPr>
    <w:rPr>
      <w:b/>
      <w:bCs/>
      <w:smallCaps/>
    </w:rPr>
  </w:style>
  <w:style w:type="paragraph" w:styleId="Heading3">
    <w:name w:val="heading 3"/>
    <w:basedOn w:val="Normal"/>
    <w:next w:val="Normal"/>
    <w:qFormat/>
    <w:pPr>
      <w:keepNext w:val="true"/>
      <w:numPr>
        <w:ilvl w:val="2"/>
        <w:numId w:val="1"/>
      </w:numPr>
      <w:ind w:hanging="720" w:start="1440" w:end="0"/>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b/>
      <w:smallCaps/>
    </w:rPr>
  </w:style>
  <w:style w:type="paragraph" w:styleId="BodyTextIndent2">
    <w:name w:val="Body Text Indent 2"/>
    <w:basedOn w:val="Normal"/>
    <w:qFormat/>
    <w:pPr>
      <w:ind w:hanging="0" w:start="720" w:end="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2000-05-01T13:47:00Z</dcterms:created>
  <dc:creator>Alcantar &amp; Elsesser LLP</dc:creator>
  <dc:description/>
  <dc:language>en-CA</dc:language>
  <cp:lastModifiedBy>Alcantar &amp; Elsesser LLP</cp:lastModifiedBy>
  <cp:lastPrinted>2000-04-27T14:25:00Z</cp:lastPrinted>
  <dcterms:modified xsi:type="dcterms:W3CDTF">2000-05-01T13:47:00Z</dcterms:modified>
  <cp:revision>3</cp:revision>
  <dc:subject/>
  <dc:title>OPEN SEASON AND CUSTOMER-FIRST PROVISION</dc:title>
</cp:coreProperties>
</file>