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color w:val="FF0000"/>
          <w:sz w:val="32"/>
        </w:rPr>
      </w:pPr>
      <w:r>
        <w:drawing>
          <wp:anchor behindDoc="0" distT="0" distB="0" distL="114935" distR="114935" simplePos="0" locked="0" layoutInCell="0" allowOverlap="1" relativeHeight="3">
            <wp:simplePos x="0" y="0"/>
            <wp:positionH relativeFrom="column">
              <wp:posOffset>45720</wp:posOffset>
            </wp:positionH>
            <wp:positionV relativeFrom="paragraph">
              <wp:posOffset>-822960</wp:posOffset>
            </wp:positionV>
            <wp:extent cx="523875" cy="5524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9" t="-65" r="-69" b="-65"/>
                    <a:stretch>
                      <a:fillRect/>
                    </a:stretch>
                  </pic:blipFill>
                  <pic:spPr bwMode="auto">
                    <a:xfrm>
                      <a:off x="0" y="0"/>
                      <a:ext cx="523875" cy="552450"/>
                    </a:xfrm>
                    <a:prstGeom prst="rect">
                      <a:avLst/>
                    </a:prstGeom>
                    <a:noFill/>
                  </pic:spPr>
                </pic:pic>
              </a:graphicData>
            </a:graphic>
          </wp:anchor>
        </w:drawing>
      </w:r>
      <w:r>
        <w:rPr>
          <w:color w:val="FF0000"/>
          <w:sz w:val="32"/>
        </w:rPr>
        <w:t>Open Enrollement</w:t>
      </w:r>
      <w:r>
        <mc:AlternateContent>
          <mc:Choice Requires="wps">
            <w:drawing>
              <wp:anchor behindDoc="0" distT="0" distB="0" distL="114935" distR="114935" simplePos="0" locked="0" layoutInCell="1" allowOverlap="1" relativeHeight="2">
                <wp:simplePos x="0" y="0"/>
                <wp:positionH relativeFrom="column">
                  <wp:posOffset>-182880</wp:posOffset>
                </wp:positionH>
                <wp:positionV relativeFrom="paragraph">
                  <wp:posOffset>-731520</wp:posOffset>
                </wp:positionV>
                <wp:extent cx="6355080" cy="688340"/>
                <wp:effectExtent l="0" t="0" r="0" b="0"/>
                <wp:wrapNone/>
                <wp:docPr id="2" name="Frame1"/>
                <a:graphic xmlns:a="http://schemas.openxmlformats.org/drawingml/2006/main">
                  <a:graphicData uri="http://schemas.microsoft.com/office/word/2010/wordprocessingShape">
                    <wps:wsp>
                      <wps:cNvSpPr txBox="1"/>
                      <wps:spPr>
                        <a:xfrm>
                          <a:off x="0" y="0"/>
                          <a:ext cx="6355080" cy="688340"/>
                        </a:xfrm>
                        <a:prstGeom prst="rect"/>
                        <a:solidFill>
                          <a:srgbClr val="FFFFFF"/>
                        </a:solidFill>
                      </wps:spPr>
                      <wps:txbx>
                        <w:txbxContent>
                          <w:p>
                            <w:pPr>
                              <w:pStyle w:val="Heading1"/>
                              <w:ind w:hanging="0" w:start="0"/>
                              <w:jc w:val="center"/>
                              <w:rPr>
                                <w:rFonts w:ascii="Garamond" w:hAnsi="Garamond" w:cs="Garamond"/>
                                <w:b/>
                                <w:i/>
                                <w:i/>
                                <w:color w:val="0000FF"/>
                                <w:sz w:val="48"/>
                              </w:rPr>
                            </w:pPr>
                            <w:r>
                              <w:rPr>
                                <w:rFonts w:cs="Garamond" w:ascii="Garamond" w:hAnsi="Garamond"/>
                                <w:b/>
                                <w:i/>
                                <w:color w:val="0000FF"/>
                                <w:sz w:val="48"/>
                              </w:rPr>
                              <w:t xml:space="preserve">Open Enrollment 2002 &amp; General </w:t>
                            </w:r>
                          </w:p>
                          <w:p>
                            <w:pPr>
                              <w:pStyle w:val="Heading1"/>
                              <w:ind w:hanging="0" w:start="0"/>
                              <w:jc w:val="center"/>
                              <w:rPr>
                                <w:rFonts w:ascii="Garamond" w:hAnsi="Garamond" w:cs="Garamond"/>
                                <w:b/>
                                <w:i/>
                                <w:i/>
                                <w:color w:val="0000FF"/>
                                <w:sz w:val="48"/>
                              </w:rPr>
                            </w:pPr>
                            <w:r>
                              <w:rPr>
                                <w:rFonts w:cs="Garamond" w:ascii="Garamond" w:hAnsi="Garamond"/>
                                <w:b/>
                                <w:i/>
                                <w:color w:val="0000FF"/>
                                <w:sz w:val="48"/>
                              </w:rPr>
                              <w:t xml:space="preserve">Benefits FAQ’s </w:t>
                            </w:r>
                          </w:p>
                          <w:p>
                            <w:pPr>
                              <w:pStyle w:val="Normal"/>
                              <w:rPr>
                                <w:rFonts w:ascii="Bookman Old Style" w:hAnsi="Bookman Old Style" w:cs="Bookman Old Style"/>
                                <w:b/>
                                <w:i/>
                                <w:i/>
                                <w:color w:val="0000FF"/>
                                <w:sz w:val="36"/>
                              </w:rPr>
                            </w:pPr>
                            <w:r>
                              <w:rPr>
                                <w:rFonts w:cs="Bookman Old Style" w:ascii="Bookman Old Style" w:hAnsi="Bookman Old Style"/>
                                <w:b/>
                                <w:i/>
                                <w:color w:val="0000FF"/>
                                <w:sz w:val="36"/>
                              </w:rPr>
                            </w:r>
                          </w:p>
                        </w:txbxContent>
                      </wps:txbx>
                      <wps:bodyPr anchor="t" lIns="92075" tIns="46355" rIns="92075" bIns="46355">
                        <a:noAutofit/>
                      </wps:bodyPr>
                    </wps:wsp>
                  </a:graphicData>
                </a:graphic>
              </wp:anchor>
            </w:drawing>
          </mc:Choice>
          <mc:Fallback>
            <w:pict>
              <v:rect fillcolor="#FFFFFF" style="position:absolute;rotation:-0;width:500.4pt;height:54.2pt;mso-wrap-distance-left:9.05pt;mso-wrap-distance-right:9.05pt;mso-wrap-distance-top:0pt;mso-wrap-distance-bottom:0pt;margin-top:-57.6pt;mso-position-vertical-relative:text;margin-left:-14.4pt;mso-position-horizontal-relative:text">
                <v:textbox inset="0.100694444444444in,0.0506944444444444in,0.100694444444444in,0.0506944444444444in">
                  <w:txbxContent>
                    <w:p>
                      <w:pPr>
                        <w:pStyle w:val="Heading1"/>
                        <w:ind w:hanging="0" w:start="0"/>
                        <w:jc w:val="center"/>
                        <w:rPr>
                          <w:rFonts w:ascii="Garamond" w:hAnsi="Garamond" w:cs="Garamond"/>
                          <w:b/>
                          <w:i/>
                          <w:i/>
                          <w:color w:val="0000FF"/>
                          <w:sz w:val="48"/>
                        </w:rPr>
                      </w:pPr>
                      <w:r>
                        <w:rPr>
                          <w:rFonts w:cs="Garamond" w:ascii="Garamond" w:hAnsi="Garamond"/>
                          <w:b/>
                          <w:i/>
                          <w:color w:val="0000FF"/>
                          <w:sz w:val="48"/>
                        </w:rPr>
                        <w:t xml:space="preserve">Open Enrollment 2002 &amp; General </w:t>
                      </w:r>
                    </w:p>
                    <w:p>
                      <w:pPr>
                        <w:pStyle w:val="Heading1"/>
                        <w:ind w:hanging="0" w:start="0"/>
                        <w:jc w:val="center"/>
                        <w:rPr>
                          <w:rFonts w:ascii="Garamond" w:hAnsi="Garamond" w:cs="Garamond"/>
                          <w:b/>
                          <w:i/>
                          <w:i/>
                          <w:color w:val="0000FF"/>
                          <w:sz w:val="48"/>
                        </w:rPr>
                      </w:pPr>
                      <w:r>
                        <w:rPr>
                          <w:rFonts w:cs="Garamond" w:ascii="Garamond" w:hAnsi="Garamond"/>
                          <w:b/>
                          <w:i/>
                          <w:color w:val="0000FF"/>
                          <w:sz w:val="48"/>
                        </w:rPr>
                        <w:t xml:space="preserve">Benefits FAQ’s </w:t>
                      </w:r>
                    </w:p>
                    <w:p>
                      <w:pPr>
                        <w:pStyle w:val="Normal"/>
                        <w:rPr>
                          <w:rFonts w:ascii="Bookman Old Style" w:hAnsi="Bookman Old Style" w:cs="Bookman Old Style"/>
                          <w:b/>
                          <w:i/>
                          <w:i/>
                          <w:color w:val="0000FF"/>
                          <w:sz w:val="36"/>
                        </w:rPr>
                      </w:pPr>
                      <w:r>
                        <w:rPr>
                          <w:rFonts w:cs="Bookman Old Style" w:ascii="Bookman Old Style" w:hAnsi="Bookman Old Style"/>
                          <w:b/>
                          <w:i/>
                          <w:color w:val="0000FF"/>
                          <w:sz w:val="36"/>
                        </w:rPr>
                      </w:r>
                    </w:p>
                  </w:txbxContent>
                </v:textbox>
                <w10:wrap type="none"/>
              </v:rect>
            </w:pict>
          </mc:Fallback>
        </mc:AlternateContent>
      </w:r>
    </w:p>
    <w:p>
      <w:pPr>
        <w:pStyle w:val="BodyText"/>
        <w:rPr>
          <w:color w:val="008000"/>
          <w:sz w:val="24"/>
        </w:rPr>
      </w:pPr>
      <w:r>
        <w:rPr>
          <w:color w:val="008000"/>
          <w:sz w:val="24"/>
        </w:rPr>
        <w:t>When:</w:t>
      </w:r>
    </w:p>
    <w:p>
      <w:pPr>
        <w:pStyle w:val="BodyText"/>
        <w:rPr/>
      </w:pPr>
      <w:r>
        <w:rPr>
          <w:color w:val="800080"/>
        </w:rPr>
        <w:t xml:space="preserve">Employee before 9/24/01: </w:t>
      </w:r>
      <w:r>
        <w:rPr>
          <w:b w:val="false"/>
        </w:rPr>
        <w:t>Open enrollment begins October 29th and ends November 12th, and employees can make changes to their benefit elections.  On November 29th, confirmation statements will be mailed to all employees to verify selection.  If additional changes need to be made, the system will reopen from November 26</w:t>
      </w:r>
      <w:r>
        <w:rPr>
          <w:b w:val="false"/>
          <w:vertAlign w:val="superscript"/>
        </w:rPr>
        <w:t xml:space="preserve">th </w:t>
      </w:r>
      <w:r>
        <w:rPr>
          <w:b w:val="false"/>
        </w:rPr>
        <w:t>until November 30</w:t>
      </w:r>
      <w:r>
        <w:rPr>
          <w:b w:val="false"/>
          <w:vertAlign w:val="superscript"/>
        </w:rPr>
        <w:t>th</w:t>
      </w:r>
      <w:r>
        <w:rPr>
          <w:b w:val="false"/>
        </w:rPr>
        <w:t>.  Final confirmation statements will be mailed on December 21</w:t>
      </w:r>
      <w:r>
        <w:rPr>
          <w:b w:val="false"/>
          <w:vertAlign w:val="superscript"/>
        </w:rPr>
        <w:t>st</w:t>
      </w:r>
      <w:r>
        <w:rPr>
          <w:b w:val="false"/>
        </w:rPr>
        <w:t>.</w:t>
      </w:r>
    </w:p>
    <w:p>
      <w:pPr>
        <w:pStyle w:val="BodyText"/>
        <w:rPr>
          <w:b w:val="false"/>
          <w:color w:val="FF0000"/>
          <w:sz w:val="32"/>
        </w:rPr>
      </w:pPr>
      <w:r>
        <w:rPr>
          <w:b w:val="false"/>
          <w:color w:val="FF0000"/>
          <w:sz w:val="32"/>
        </w:rPr>
      </w:r>
    </w:p>
    <w:p>
      <w:pPr>
        <w:pStyle w:val="BodyText"/>
        <w:rPr/>
      </w:pPr>
      <w:r>
        <w:rPr>
          <w:color w:val="800080"/>
        </w:rPr>
        <w:t xml:space="preserve">Employee after 9/24/01: </w:t>
      </w:r>
      <w:r>
        <w:rPr>
          <w:b w:val="false"/>
        </w:rPr>
        <w:t>Open enrollment begins November 26</w:t>
      </w:r>
      <w:r>
        <w:rPr>
          <w:b w:val="false"/>
          <w:vertAlign w:val="superscript"/>
        </w:rPr>
        <w:t>th</w:t>
      </w:r>
      <w:r>
        <w:rPr>
          <w:b w:val="false"/>
        </w:rPr>
        <w:t xml:space="preserve"> and ends on November 30</w:t>
      </w:r>
      <w:r>
        <w:rPr>
          <w:b w:val="false"/>
          <w:vertAlign w:val="superscript"/>
        </w:rPr>
        <w:t>th</w:t>
      </w:r>
      <w:r>
        <w:rPr>
          <w:b w:val="false"/>
        </w:rPr>
        <w:t>.  Confirmation statement will be mailed on December 21</w:t>
      </w:r>
      <w:r>
        <w:rPr>
          <w:b w:val="false"/>
          <w:vertAlign w:val="superscript"/>
        </w:rPr>
        <w:t>st</w:t>
      </w:r>
      <w:r>
        <w:rPr>
          <w:b w:val="false"/>
        </w:rPr>
        <w:t xml:space="preserve">. </w:t>
      </w:r>
    </w:p>
    <w:p>
      <w:pPr>
        <w:pStyle w:val="BodyText"/>
        <w:rPr>
          <w:b w:val="false"/>
        </w:rPr>
      </w:pPr>
      <w:r>
        <w:rPr>
          <w:b w:val="false"/>
        </w:rPr>
      </w:r>
    </w:p>
    <w:p>
      <w:pPr>
        <w:pStyle w:val="BodyText"/>
        <w:rPr>
          <w:color w:val="008000"/>
          <w:sz w:val="24"/>
        </w:rPr>
      </w:pPr>
      <w:r>
        <w:rPr>
          <w:color w:val="008000"/>
          <w:sz w:val="24"/>
        </w:rPr>
        <w:t>To Log-On:</w:t>
      </w:r>
    </w:p>
    <w:p>
      <w:pPr>
        <w:pStyle w:val="BodyText"/>
        <w:rPr/>
      </w:pPr>
      <w:r>
        <w:rPr>
          <w:b w:val="false"/>
          <w:bCs/>
        </w:rPr>
        <w:t xml:space="preserve">Access </w:t>
      </w:r>
      <w:hyperlink r:id="rId3">
        <w:r>
          <w:rPr>
            <w:rStyle w:val="Hyperlink"/>
            <w:bCs/>
          </w:rPr>
          <w:t>www.enron.benefitsnow.com</w:t>
        </w:r>
      </w:hyperlink>
      <w:r>
        <w:rPr>
          <w:b w:val="false"/>
          <w:bCs/>
        </w:rPr>
        <w:t xml:space="preserve"> from work or home.  Your log-in is your social security number and your password is the last four digits of your social security number.  </w:t>
      </w:r>
    </w:p>
    <w:p>
      <w:pPr>
        <w:pStyle w:val="BodyText"/>
        <w:rPr>
          <w:b w:val="false"/>
          <w:bCs/>
        </w:rPr>
      </w:pPr>
      <w:r>
        <w:rPr>
          <w:b w:val="false"/>
          <w:bCs/>
        </w:rPr>
      </w:r>
    </w:p>
    <w:p>
      <w:pPr>
        <w:pStyle w:val="BodyText"/>
        <w:rPr>
          <w:color w:val="008000"/>
          <w:sz w:val="24"/>
        </w:rPr>
      </w:pPr>
      <w:r>
        <w:rPr>
          <w:color w:val="008000"/>
          <w:sz w:val="24"/>
        </w:rPr>
        <w:t>No changes Needed:</w:t>
      </w:r>
    </w:p>
    <w:p>
      <w:pPr>
        <w:pStyle w:val="BodyText"/>
        <w:rPr>
          <w:b w:val="false"/>
          <w:bCs/>
        </w:rPr>
      </w:pPr>
      <w:r>
        <w:rPr>
          <w:b w:val="false"/>
          <w:bCs/>
        </w:rPr>
        <w:t xml:space="preserve">If you would like for your benefit elections to stay the same as they were in 2001, you do not need to do anything. </w:t>
      </w:r>
    </w:p>
    <w:p>
      <w:pPr>
        <w:pStyle w:val="BodyText"/>
        <w:rPr>
          <w:b w:val="false"/>
          <w:bCs/>
          <w:color w:val="FF0000"/>
          <w:sz w:val="32"/>
        </w:rPr>
      </w:pPr>
      <w:r>
        <w:rPr>
          <w:b w:val="false"/>
          <w:bCs/>
          <w:color w:val="FF0000"/>
          <w:sz w:val="32"/>
        </w:rPr>
      </w:r>
    </w:p>
    <w:p>
      <w:pPr>
        <w:pStyle w:val="BodyText"/>
        <w:rPr>
          <w:color w:val="008000"/>
          <w:sz w:val="24"/>
        </w:rPr>
      </w:pPr>
      <w:r>
        <w:rPr>
          <w:color w:val="FF0000"/>
          <w:sz w:val="32"/>
        </w:rPr>
        <w:t>Benefits:</w:t>
      </w:r>
    </w:p>
    <w:p>
      <w:pPr>
        <w:pStyle w:val="BodyText"/>
        <w:rPr>
          <w:color w:val="0000FF"/>
          <w:u w:val="single"/>
        </w:rPr>
      </w:pPr>
      <w:r>
        <w:rPr>
          <w:color w:val="008000"/>
          <w:sz w:val="24"/>
        </w:rPr>
        <w:t>General Medical:</w:t>
      </w:r>
    </w:p>
    <w:p>
      <w:pPr>
        <w:pStyle w:val="BodyText"/>
        <w:rPr/>
      </w:pPr>
      <w:r>
        <w:rPr/>
        <w:t>UHC Group #:  175910</w:t>
      </w:r>
    </w:p>
    <w:p>
      <w:pPr>
        <w:pStyle w:val="BodyText"/>
        <w:rPr>
          <w:b w:val="false"/>
        </w:rPr>
      </w:pPr>
      <w:r>
        <w:rPr/>
        <w:t>CIGNA Group #:  0024647</w:t>
      </w:r>
    </w:p>
    <w:p>
      <w:pPr>
        <w:pStyle w:val="BodyText"/>
        <w:rPr>
          <w:b w:val="false"/>
          <w:color w:val="800080"/>
        </w:rPr>
      </w:pPr>
      <w:r>
        <w:rPr>
          <w:b w:val="false"/>
          <w:color w:val="800080"/>
        </w:rPr>
      </w:r>
    </w:p>
    <w:p>
      <w:pPr>
        <w:pStyle w:val="BodyText"/>
        <w:rPr/>
      </w:pPr>
      <w:r>
        <w:rPr>
          <w:color w:val="800080"/>
        </w:rPr>
        <w:t xml:space="preserve">Add a Dependent: </w:t>
      </w:r>
      <w:r>
        <w:rPr>
          <w:b w:val="false"/>
        </w:rPr>
        <w:t>In order for an employee to add a dependent to their benefits, the employee has to contact Synhrgy directly at 800-332-7979.  The Service Center can no longer help employees with this request.</w:t>
      </w:r>
    </w:p>
    <w:p>
      <w:pPr>
        <w:pStyle w:val="BodyText"/>
        <w:rPr>
          <w:b w:val="false"/>
        </w:rPr>
      </w:pPr>
      <w:r>
        <w:rPr>
          <w:b w:val="false"/>
        </w:rPr>
      </w:r>
    </w:p>
    <w:p>
      <w:pPr>
        <w:pStyle w:val="BodyText"/>
        <w:rPr/>
      </w:pPr>
      <w:r>
        <w:rPr>
          <w:color w:val="800080"/>
        </w:rPr>
        <w:t xml:space="preserve">Change in Family Status: </w:t>
      </w:r>
      <w:r>
        <w:rPr>
          <w:b w:val="false"/>
        </w:rPr>
        <w:t>An employee can make changes in their benefit elections if they have one of the following changes in family status:</w:t>
      </w:r>
    </w:p>
    <w:p>
      <w:pPr>
        <w:pStyle w:val="BodyText"/>
        <w:numPr>
          <w:ilvl w:val="0"/>
          <w:numId w:val="2"/>
        </w:numPr>
        <w:rPr>
          <w:b w:val="false"/>
        </w:rPr>
      </w:pPr>
      <w:r>
        <w:rPr>
          <w:b w:val="false"/>
        </w:rPr>
        <w:t>Marriage</w:t>
      </w:r>
    </w:p>
    <w:p>
      <w:pPr>
        <w:pStyle w:val="BodyText"/>
        <w:numPr>
          <w:ilvl w:val="0"/>
          <w:numId w:val="2"/>
        </w:numPr>
        <w:rPr>
          <w:b w:val="false"/>
        </w:rPr>
      </w:pPr>
      <w:r>
        <w:rPr>
          <w:b w:val="false"/>
        </w:rPr>
        <w:t>Birth or adoption of a child</w:t>
      </w:r>
    </w:p>
    <w:p>
      <w:pPr>
        <w:pStyle w:val="BodyText"/>
        <w:numPr>
          <w:ilvl w:val="0"/>
          <w:numId w:val="2"/>
        </w:numPr>
        <w:rPr>
          <w:b w:val="false"/>
        </w:rPr>
      </w:pPr>
      <w:r>
        <w:rPr>
          <w:b w:val="false"/>
        </w:rPr>
        <w:t>Death of spouse or dependent child</w:t>
      </w:r>
    </w:p>
    <w:p>
      <w:pPr>
        <w:pStyle w:val="BodyText"/>
        <w:numPr>
          <w:ilvl w:val="0"/>
          <w:numId w:val="2"/>
        </w:numPr>
        <w:rPr>
          <w:b w:val="false"/>
        </w:rPr>
      </w:pPr>
      <w:r>
        <w:rPr>
          <w:b w:val="false"/>
        </w:rPr>
        <w:t>Qualification or disqualification of a dependent child</w:t>
      </w:r>
    </w:p>
    <w:p>
      <w:pPr>
        <w:pStyle w:val="BodyText"/>
        <w:numPr>
          <w:ilvl w:val="0"/>
          <w:numId w:val="2"/>
        </w:numPr>
        <w:rPr>
          <w:b w:val="false"/>
        </w:rPr>
      </w:pPr>
      <w:r>
        <w:rPr>
          <w:b w:val="false"/>
        </w:rPr>
        <w:t>Gain or loss of your spouse’s employment</w:t>
      </w:r>
    </w:p>
    <w:p>
      <w:pPr>
        <w:pStyle w:val="BodyText"/>
        <w:rPr>
          <w:b w:val="false"/>
        </w:rPr>
      </w:pPr>
      <w:r>
        <w:rPr>
          <w:b w:val="false"/>
        </w:rPr>
        <w:t xml:space="preserve"> </w:t>
      </w:r>
    </w:p>
    <w:p>
      <w:pPr>
        <w:pStyle w:val="BodyText"/>
        <w:rPr/>
      </w:pPr>
      <w:r>
        <w:rPr>
          <w:color w:val="800080"/>
        </w:rPr>
        <w:t xml:space="preserve">Eligibility: </w:t>
      </w:r>
      <w:r>
        <w:rPr>
          <w:b w:val="false"/>
        </w:rPr>
        <w:t>New employees are eligible for benefits immediately.  They have 45 days to make their benefit elections before default elections are chosen for them.</w:t>
      </w:r>
    </w:p>
    <w:p>
      <w:pPr>
        <w:pStyle w:val="BodyText"/>
        <w:rPr>
          <w:b w:val="false"/>
        </w:rPr>
      </w:pPr>
      <w:r>
        <w:rPr>
          <w:b w:val="false"/>
        </w:rPr>
      </w:r>
    </w:p>
    <w:p>
      <w:pPr>
        <w:pStyle w:val="BodyText"/>
        <w:rPr/>
      </w:pPr>
      <w:r>
        <w:rPr>
          <w:color w:val="800080"/>
        </w:rPr>
        <w:t xml:space="preserve">Provider Directory: </w:t>
      </w:r>
      <w:r>
        <w:rPr>
          <w:b w:val="false"/>
        </w:rPr>
        <w:t>Provider Directories are no longer given out.  A list of providers in your area can either be found on CIGNA or UHC’s website, or by calling them directly.</w:t>
      </w:r>
    </w:p>
    <w:p>
      <w:pPr>
        <w:pStyle w:val="BodyText"/>
        <w:rPr>
          <w:b w:val="false"/>
          <w:color w:val="008000"/>
          <w:sz w:val="24"/>
        </w:rPr>
      </w:pPr>
      <w:r>
        <w:rPr>
          <w:b w:val="false"/>
          <w:color w:val="008000"/>
          <w:sz w:val="24"/>
        </w:rPr>
      </w:r>
    </w:p>
    <w:p>
      <w:pPr>
        <w:pStyle w:val="BodyText"/>
        <w:rPr>
          <w:color w:val="008000"/>
          <w:sz w:val="24"/>
        </w:rPr>
      </w:pPr>
      <w:r>
        <w:rPr>
          <w:color w:val="008000"/>
          <w:sz w:val="24"/>
        </w:rPr>
        <w:t xml:space="preserve">Dental Plan: MetLife </w:t>
      </w:r>
    </w:p>
    <w:p>
      <w:pPr>
        <w:pStyle w:val="BodyText"/>
        <w:rPr/>
      </w:pPr>
      <w:r>
        <w:rPr/>
        <w:t>Group #:  39742</w:t>
      </w:r>
    </w:p>
    <w:p>
      <w:pPr>
        <w:pStyle w:val="BodyText"/>
        <w:rPr>
          <w:b w:val="false"/>
        </w:rPr>
      </w:pPr>
      <w:r>
        <w:rPr>
          <w:b w:val="false"/>
        </w:rPr>
        <w:t>Although you may seek treatment from any dentist, Enron offers a Preferred Dentist Program that is designed to reduce your out-of-pocket costs.  To obtain a list of participating dentists, call (800) 474-7371.</w:t>
      </w:r>
    </w:p>
    <w:p>
      <w:pPr>
        <w:pStyle w:val="BodyText"/>
        <w:rPr>
          <w:b w:val="false"/>
        </w:rPr>
      </w:pPr>
      <w:r>
        <w:rPr>
          <w:b w:val="false"/>
        </w:rPr>
      </w:r>
    </w:p>
    <w:tbl>
      <w:tblPr>
        <w:tblW w:w="3078" w:type="dxa"/>
        <w:jc w:val="start"/>
        <w:tblInd w:w="0" w:type="dxa"/>
        <w:tblLayout w:type="fixed"/>
        <w:tblCellMar>
          <w:top w:w="0" w:type="dxa"/>
          <w:start w:w="108" w:type="dxa"/>
          <w:bottom w:w="0" w:type="dxa"/>
          <w:end w:w="108" w:type="dxa"/>
        </w:tblCellMar>
      </w:tblPr>
      <w:tblGrid>
        <w:gridCol w:w="1728"/>
        <w:gridCol w:w="1350"/>
      </w:tblGrid>
      <w:tr>
        <w:trPr/>
        <w:tc>
          <w:tcPr>
            <w:tcW w:w="1728" w:type="dxa"/>
            <w:tcBorders>
              <w:top w:val="single" w:sz="4" w:space="0" w:color="000000"/>
              <w:start w:val="single" w:sz="4" w:space="0" w:color="000000"/>
              <w:bottom w:val="single" w:sz="4" w:space="0" w:color="000000"/>
              <w:end w:val="single" w:sz="4" w:space="0" w:color="000000"/>
            </w:tcBorders>
          </w:tcPr>
          <w:p>
            <w:pPr>
              <w:pStyle w:val="BodyText"/>
              <w:rPr/>
            </w:pPr>
            <w:r>
              <w:rPr/>
              <w:t>Types of Service</w:t>
            </w:r>
          </w:p>
        </w:tc>
        <w:tc>
          <w:tcPr>
            <w:tcW w:w="1350" w:type="dxa"/>
            <w:tcBorders>
              <w:top w:val="single" w:sz="4" w:space="0" w:color="000000"/>
              <w:start w:val="single" w:sz="4" w:space="0" w:color="000000"/>
              <w:bottom w:val="single" w:sz="4" w:space="0" w:color="000000"/>
              <w:end w:val="single" w:sz="4" w:space="0" w:color="000000"/>
            </w:tcBorders>
          </w:tcPr>
          <w:p>
            <w:pPr>
              <w:pStyle w:val="BodyText"/>
              <w:rPr/>
            </w:pPr>
            <w:r>
              <w:rPr/>
              <w:t>Coinsurance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BodyText"/>
              <w:jc w:val="center"/>
              <w:rPr>
                <w:b w:val="false"/>
              </w:rPr>
            </w:pPr>
            <w:r>
              <w:rPr>
                <w:b w:val="false"/>
              </w:rPr>
              <w:t>Preventative/ Diagnostic</w:t>
            </w:r>
          </w:p>
        </w:tc>
        <w:tc>
          <w:tcPr>
            <w:tcW w:w="1350" w:type="dxa"/>
            <w:tcBorders>
              <w:top w:val="single" w:sz="4" w:space="0" w:color="000000"/>
              <w:start w:val="single" w:sz="4" w:space="0" w:color="000000"/>
              <w:bottom w:val="single" w:sz="4" w:space="0" w:color="000000"/>
              <w:end w:val="single" w:sz="4" w:space="0" w:color="000000"/>
            </w:tcBorders>
          </w:tcPr>
          <w:p>
            <w:pPr>
              <w:pStyle w:val="BodyText"/>
              <w:jc w:val="center"/>
              <w:rPr>
                <w:b w:val="false"/>
              </w:rPr>
            </w:pPr>
            <w:r>
              <w:rPr>
                <w:b w:val="false"/>
              </w:rPr>
              <w:t>100%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BodyText"/>
              <w:jc w:val="center"/>
              <w:rPr>
                <w:b w:val="false"/>
              </w:rPr>
            </w:pPr>
            <w:r>
              <w:rPr>
                <w:b w:val="false"/>
              </w:rPr>
              <w:t>Basic</w:t>
            </w:r>
          </w:p>
        </w:tc>
        <w:tc>
          <w:tcPr>
            <w:tcW w:w="1350" w:type="dxa"/>
            <w:tcBorders>
              <w:top w:val="single" w:sz="4" w:space="0" w:color="000000"/>
              <w:start w:val="single" w:sz="4" w:space="0" w:color="000000"/>
              <w:bottom w:val="single" w:sz="4" w:space="0" w:color="000000"/>
              <w:end w:val="single" w:sz="4" w:space="0" w:color="000000"/>
            </w:tcBorders>
          </w:tcPr>
          <w:p>
            <w:pPr>
              <w:pStyle w:val="BodyText"/>
              <w:jc w:val="center"/>
              <w:rPr>
                <w:b w:val="false"/>
              </w:rPr>
            </w:pPr>
            <w:r>
              <w:rPr>
                <w:b w:val="false"/>
              </w:rPr>
              <w:t>80%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BodyText"/>
              <w:jc w:val="center"/>
              <w:rPr>
                <w:b w:val="false"/>
              </w:rPr>
            </w:pPr>
            <w:r>
              <w:rPr>
                <w:b w:val="false"/>
              </w:rPr>
              <w:t>Major</w:t>
            </w:r>
          </w:p>
        </w:tc>
        <w:tc>
          <w:tcPr>
            <w:tcW w:w="1350" w:type="dxa"/>
            <w:tcBorders>
              <w:top w:val="single" w:sz="4" w:space="0" w:color="000000"/>
              <w:start w:val="single" w:sz="4" w:space="0" w:color="000000"/>
              <w:bottom w:val="single" w:sz="4" w:space="0" w:color="000000"/>
              <w:end w:val="single" w:sz="4" w:space="0" w:color="000000"/>
            </w:tcBorders>
          </w:tcPr>
          <w:p>
            <w:pPr>
              <w:pStyle w:val="BodyText"/>
              <w:jc w:val="center"/>
              <w:rPr>
                <w:b w:val="false"/>
              </w:rPr>
            </w:pPr>
            <w:r>
              <w:rPr>
                <w:b w:val="false"/>
              </w:rPr>
              <w:t>50%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BodyText"/>
              <w:jc w:val="center"/>
              <w:rPr>
                <w:b w:val="false"/>
              </w:rPr>
            </w:pPr>
            <w:r>
              <w:rPr>
                <w:b w:val="false"/>
              </w:rPr>
              <w:t>Orthodontia</w:t>
            </w:r>
          </w:p>
        </w:tc>
        <w:tc>
          <w:tcPr>
            <w:tcW w:w="1350" w:type="dxa"/>
            <w:tcBorders>
              <w:top w:val="single" w:sz="4" w:space="0" w:color="000000"/>
              <w:start w:val="single" w:sz="4" w:space="0" w:color="000000"/>
              <w:bottom w:val="single" w:sz="4" w:space="0" w:color="000000"/>
              <w:end w:val="single" w:sz="4" w:space="0" w:color="000000"/>
            </w:tcBorders>
          </w:tcPr>
          <w:p>
            <w:pPr>
              <w:pStyle w:val="BodyText"/>
              <w:jc w:val="center"/>
              <w:rPr>
                <w:b w:val="false"/>
              </w:rPr>
            </w:pPr>
            <w:r>
              <w:rPr>
                <w:b w:val="false"/>
              </w:rPr>
              <w:t>50%</w:t>
            </w:r>
          </w:p>
        </w:tc>
      </w:tr>
    </w:tbl>
    <w:p>
      <w:pPr>
        <w:pStyle w:val="BodyText"/>
        <w:rPr>
          <w:color w:val="008000"/>
          <w:sz w:val="24"/>
        </w:rPr>
      </w:pPr>
      <w:r>
        <w:rPr>
          <w:color w:val="008000"/>
          <w:sz w:val="24"/>
        </w:rPr>
      </w:r>
    </w:p>
    <w:p>
      <w:pPr>
        <w:pStyle w:val="BodyText"/>
        <w:rPr>
          <w:color w:val="008000"/>
          <w:sz w:val="24"/>
        </w:rPr>
      </w:pPr>
      <w:r>
        <w:rPr>
          <w:color w:val="008000"/>
          <w:sz w:val="24"/>
        </w:rPr>
      </w:r>
    </w:p>
    <w:p>
      <w:pPr>
        <w:pStyle w:val="BodyText"/>
        <w:rPr>
          <w:color w:val="008000"/>
          <w:sz w:val="24"/>
        </w:rPr>
      </w:pPr>
      <w:r>
        <w:rPr>
          <w:color w:val="008000"/>
          <w:sz w:val="24"/>
        </w:rPr>
        <w:t>Savings Plan/ 401 (k)</w:t>
      </w:r>
    </w:p>
    <w:p>
      <w:pPr>
        <w:pStyle w:val="BodyText"/>
        <w:rPr/>
      </w:pPr>
      <w:r>
        <w:rPr>
          <w:bCs/>
          <w:color w:val="800080"/>
        </w:rPr>
        <w:t xml:space="preserve">General Information: </w:t>
      </w:r>
      <w:r>
        <w:rPr>
          <w:b w:val="false"/>
        </w:rPr>
        <w:t>Employees are 100% vested in the company matching contributions after completion of 1 year of consecutive employment with Enron.  Enron will match $.50 on the $1 up to 6% of your monthly base pay.</w:t>
      </w:r>
    </w:p>
    <w:p>
      <w:pPr>
        <w:pStyle w:val="BodyText"/>
        <w:rPr>
          <w:b w:val="false"/>
        </w:rPr>
      </w:pPr>
      <w:r>
        <w:rPr>
          <w:b w:val="false"/>
        </w:rPr>
      </w:r>
    </w:p>
    <w:p>
      <w:pPr>
        <w:pStyle w:val="BodyText"/>
        <w:rPr>
          <w:b w:val="false"/>
        </w:rPr>
      </w:pPr>
      <w:r>
        <w:rPr>
          <w:bCs/>
          <w:color w:val="800080"/>
        </w:rPr>
        <w:t xml:space="preserve">Administrator: </w:t>
      </w:r>
      <w:r>
        <w:rPr>
          <w:b w:val="false"/>
        </w:rPr>
        <w:t>Our Savings plan administrator beginning November 20</w:t>
      </w:r>
      <w:r>
        <w:rPr>
          <w:b w:val="false"/>
          <w:vertAlign w:val="superscript"/>
        </w:rPr>
        <w:t>th</w:t>
      </w:r>
      <w:r>
        <w:rPr>
          <w:b w:val="false"/>
        </w:rPr>
        <w:t xml:space="preserve"> is Hewitt associates.  On November 20</w:t>
      </w:r>
      <w:r>
        <w:rPr>
          <w:b w:val="false"/>
          <w:vertAlign w:val="superscript"/>
        </w:rPr>
        <w:t>th</w:t>
      </w:r>
      <w:r>
        <w:rPr>
          <w:b w:val="false"/>
        </w:rPr>
        <w:t xml:space="preserve"> you will be able to view your account at </w:t>
      </w:r>
      <w:hyperlink r:id="rId4">
        <w:r>
          <w:rPr>
            <w:rStyle w:val="Hyperlink"/>
          </w:rPr>
          <w:t>http://hrweb.enron.com</w:t>
        </w:r>
      </w:hyperlink>
    </w:p>
    <w:p>
      <w:pPr>
        <w:pStyle w:val="BodyText"/>
        <w:rPr>
          <w:b w:val="false"/>
        </w:rPr>
      </w:pPr>
      <w:r>
        <w:rPr>
          <w:b w:val="false"/>
        </w:rPr>
      </w:r>
    </w:p>
    <w:p>
      <w:pPr>
        <w:pStyle w:val="BodyText"/>
        <w:rPr>
          <w:color w:val="800080"/>
        </w:rPr>
      </w:pPr>
      <w:r>
        <w:rPr>
          <w:color w:val="800080"/>
        </w:rPr>
        <w:t>Changes November 20, 2001:</w:t>
      </w:r>
    </w:p>
    <w:p>
      <w:pPr>
        <w:pStyle w:val="BodyText"/>
        <w:numPr>
          <w:ilvl w:val="0"/>
          <w:numId w:val="5"/>
        </w:numPr>
        <w:rPr>
          <w:b w:val="false"/>
        </w:rPr>
      </w:pPr>
      <w:r>
        <w:rPr>
          <w:b w:val="false"/>
        </w:rPr>
        <w:t>Self-directed Brokerage Account: CSFB</w:t>
      </w:r>
      <w:r>
        <w:rPr>
          <w:b w:val="false"/>
          <w:i/>
          <w:iCs/>
        </w:rPr>
        <w:t>direct</w:t>
      </w:r>
      <w:r>
        <w:rPr>
          <w:b w:val="false"/>
        </w:rPr>
        <w:t xml:space="preserve"> replaces Charles Schwab.  For questions, contact Dinah Sultanik at x3-511 .</w:t>
      </w:r>
    </w:p>
    <w:p>
      <w:pPr>
        <w:pStyle w:val="BodyText"/>
        <w:numPr>
          <w:ilvl w:val="0"/>
          <w:numId w:val="5"/>
        </w:numPr>
        <w:rPr>
          <w:b w:val="false"/>
        </w:rPr>
      </w:pPr>
      <w:r>
        <w:rPr>
          <w:b w:val="false"/>
        </w:rPr>
        <w:t>Loan Fee increases to $35/loan</w:t>
      </w:r>
    </w:p>
    <w:p>
      <w:pPr>
        <w:pStyle w:val="BodyText"/>
        <w:numPr>
          <w:ilvl w:val="0"/>
          <w:numId w:val="5"/>
        </w:numPr>
        <w:rPr>
          <w:b w:val="false"/>
        </w:rPr>
      </w:pPr>
      <w:r>
        <w:rPr>
          <w:b w:val="false"/>
        </w:rPr>
        <w:t xml:space="preserve">Vangard Life Strategy Funds are replaced with Fidelity Freedom Funds.  For information on these funds, please see the website at </w:t>
      </w:r>
      <w:hyperlink r:id="rId5">
        <w:r>
          <w:rPr>
            <w:rStyle w:val="Hyperlink"/>
          </w:rPr>
          <w:t>http://hrweb.enron.com</w:t>
        </w:r>
      </w:hyperlink>
      <w:r>
        <w:rPr>
          <w:b w:val="false"/>
        </w:rPr>
        <w:t xml:space="preserve">. </w:t>
      </w:r>
    </w:p>
    <w:p>
      <w:pPr>
        <w:pStyle w:val="BodyText"/>
        <w:rPr>
          <w:b w:val="false"/>
        </w:rPr>
      </w:pPr>
      <w:r>
        <w:rPr>
          <w:b w:val="false"/>
        </w:rPr>
      </w:r>
    </w:p>
    <w:p>
      <w:pPr>
        <w:pStyle w:val="Heading3"/>
        <w:ind w:hanging="0" w:start="0"/>
        <w:rPr>
          <w:color w:val="008000"/>
        </w:rPr>
      </w:pPr>
      <w:r>
        <w:rPr>
          <w:color w:val="008000"/>
        </w:rPr>
        <w:t>Vision Plan</w:t>
      </w:r>
    </w:p>
    <w:p>
      <w:pPr>
        <w:pStyle w:val="Heading4"/>
        <w:spacing w:lineRule="auto" w:line="240"/>
        <w:ind w:hanging="0" w:start="0"/>
        <w:rPr/>
      </w:pPr>
      <w:r>
        <w:rPr/>
        <w:t>Group #:  12128420</w:t>
      </w:r>
    </w:p>
    <w:p>
      <w:pPr>
        <w:pStyle w:val="Normal"/>
        <w:rPr/>
      </w:pPr>
      <w:r>
        <w:rPr/>
        <w:t>Network Coverage:</w:t>
      </w:r>
    </w:p>
    <w:p>
      <w:pPr>
        <w:pStyle w:val="Normal"/>
        <w:rPr>
          <w:b/>
          <w:color w:val="800080"/>
        </w:rPr>
      </w:pPr>
      <w:r>
        <w:rPr/>
        <w:t xml:space="preserve">A list of Network providers can be found at </w:t>
      </w:r>
      <w:r>
        <w:rPr>
          <w:color w:val="0000FF"/>
          <w:u w:val="single"/>
        </w:rPr>
        <w:t>hrweb.enron</w:t>
      </w:r>
      <w:r>
        <w:rPr/>
        <w:t xml:space="preserve"> under the benefits center, external sites.</w:t>
      </w:r>
    </w:p>
    <w:p>
      <w:pPr>
        <w:pStyle w:val="Normal"/>
        <w:numPr>
          <w:ilvl w:val="0"/>
          <w:numId w:val="4"/>
        </w:numPr>
        <w:rPr/>
      </w:pPr>
      <w:r>
        <w:rPr/>
        <w:t>1 exam/ year:  $10 co-pay</w:t>
      </w:r>
    </w:p>
    <w:p>
      <w:pPr>
        <w:pStyle w:val="Normal"/>
        <w:numPr>
          <w:ilvl w:val="0"/>
          <w:numId w:val="4"/>
        </w:numPr>
        <w:jc w:val="both"/>
        <w:rPr/>
      </w:pPr>
      <w:r>
        <w:rPr/>
        <w:t>Lenses:  $25 co-pay</w:t>
      </w:r>
    </w:p>
    <w:p>
      <w:pPr>
        <w:pStyle w:val="Normal"/>
        <w:numPr>
          <w:ilvl w:val="0"/>
          <w:numId w:val="4"/>
        </w:numPr>
        <w:rPr/>
      </w:pPr>
      <w:r>
        <w:rPr/>
        <w:t>Contacts if medically necessary</w:t>
      </w:r>
    </w:p>
    <w:p>
      <w:pPr>
        <w:pStyle w:val="Normal"/>
        <w:numPr>
          <w:ilvl w:val="0"/>
          <w:numId w:val="4"/>
        </w:numPr>
        <w:rPr/>
      </w:pPr>
      <w:r>
        <w:rPr/>
        <w:t>Claims are submitted by In-Network providers</w:t>
      </w:r>
    </w:p>
    <w:p>
      <w:pPr>
        <w:pStyle w:val="Normal"/>
        <w:rPr/>
      </w:pPr>
      <w:r>
        <w:rPr/>
      </w:r>
    </w:p>
    <w:p>
      <w:pPr>
        <w:pStyle w:val="Normal"/>
        <w:rPr>
          <w:b/>
          <w:color w:val="800080"/>
        </w:rPr>
      </w:pPr>
      <w:r>
        <w:rPr>
          <w:b/>
          <w:color w:val="800080"/>
        </w:rPr>
        <w:t>Out of Network:</w:t>
      </w:r>
    </w:p>
    <w:p>
      <w:pPr>
        <w:pStyle w:val="Normal"/>
        <w:numPr>
          <w:ilvl w:val="0"/>
          <w:numId w:val="3"/>
        </w:numPr>
        <w:rPr/>
      </w:pPr>
      <w:r>
        <w:rPr/>
        <w:t xml:space="preserve">Up to $36 for exams </w:t>
      </w:r>
    </w:p>
    <w:p>
      <w:pPr>
        <w:pStyle w:val="Normal"/>
        <w:numPr>
          <w:ilvl w:val="0"/>
          <w:numId w:val="3"/>
        </w:numPr>
        <w:rPr/>
      </w:pPr>
      <w:r>
        <w:rPr/>
        <w:t>Up to $28 for lenses and frames for single vision</w:t>
      </w:r>
    </w:p>
    <w:p>
      <w:pPr>
        <w:pStyle w:val="Normal"/>
        <w:numPr>
          <w:ilvl w:val="0"/>
          <w:numId w:val="3"/>
        </w:numPr>
        <w:rPr/>
      </w:pPr>
      <w:r>
        <w:rPr/>
        <w:t>Up to $45 for Bifocals</w:t>
      </w:r>
    </w:p>
    <w:p>
      <w:pPr>
        <w:pStyle w:val="Normal"/>
        <w:numPr>
          <w:ilvl w:val="0"/>
          <w:numId w:val="3"/>
        </w:numPr>
        <w:rPr/>
      </w:pPr>
      <w:r>
        <w:rPr/>
        <w:t>Up to $50 for Trifocals</w:t>
      </w:r>
    </w:p>
    <w:p>
      <w:pPr>
        <w:pStyle w:val="Normal"/>
        <w:numPr>
          <w:ilvl w:val="0"/>
          <w:numId w:val="3"/>
        </w:numPr>
        <w:rPr/>
      </w:pPr>
      <w:r>
        <w:rPr/>
        <w:t>Up to $80 for Lenticular</w:t>
      </w:r>
    </w:p>
    <w:p>
      <w:pPr>
        <w:pStyle w:val="Normal"/>
        <w:numPr>
          <w:ilvl w:val="0"/>
          <w:numId w:val="3"/>
        </w:numPr>
        <w:rPr/>
      </w:pPr>
      <w:r>
        <w:rPr/>
        <w:t>Up to $210 for Contacts if medically necessary.</w:t>
      </w:r>
    </w:p>
    <w:p>
      <w:pPr>
        <w:pStyle w:val="Normal"/>
        <w:rPr/>
      </w:pPr>
      <w:r>
        <w:rPr/>
        <w:t>Claims forms for Out-of-Network can be obtained from the Employee Service Center at EB36 and must be submitted directly to Vision Service Plan.</w:t>
      </w:r>
    </w:p>
    <w:p>
      <w:pPr>
        <w:pStyle w:val="BodyText"/>
        <w:rPr/>
      </w:pPr>
      <w:r>
        <w:rPr/>
      </w:r>
    </w:p>
    <w:p>
      <w:pPr>
        <w:pStyle w:val="BodyText"/>
        <w:rPr>
          <w:color w:val="FF0000"/>
          <w:sz w:val="24"/>
        </w:rPr>
      </w:pPr>
      <w:r>
        <w:rPr>
          <w:color w:val="FF0000"/>
          <w:sz w:val="24"/>
        </w:rPr>
        <w:t>Telephone Numbers</w:t>
        <w:tab/>
      </w:r>
    </w:p>
    <w:p>
      <w:pPr>
        <w:pStyle w:val="Normal"/>
        <w:spacing w:lineRule="exact" w:line="260"/>
        <w:rPr>
          <w:b/>
        </w:rPr>
      </w:pPr>
      <w:r>
        <w:rPr>
          <w:b/>
        </w:rPr>
        <w:t xml:space="preserve">401K:  </w:t>
      </w:r>
      <w:r>
        <w:rPr/>
        <w:t>713-853-7979 (option 2)</w:t>
      </w:r>
    </w:p>
    <w:p>
      <w:pPr>
        <w:pStyle w:val="BodyText"/>
        <w:spacing w:lineRule="exact" w:line="260"/>
        <w:rPr/>
      </w:pPr>
      <w:r>
        <w:rPr/>
        <w:t>All-Employment Stock Option Plan</w:t>
      </w:r>
    </w:p>
    <w:p>
      <w:pPr>
        <w:pStyle w:val="Normal"/>
        <w:spacing w:lineRule="exact" w:line="260"/>
        <w:rPr>
          <w:b/>
        </w:rPr>
      </w:pPr>
      <w:r>
        <w:rPr>
          <w:b/>
        </w:rPr>
        <w:t xml:space="preserve">  </w:t>
      </w:r>
      <w:r>
        <w:rPr>
          <w:b/>
        </w:rPr>
        <w:t xml:space="preserve">Paine Webber: </w:t>
      </w:r>
      <w:r>
        <w:rPr/>
        <w:t>(713) 654-0371</w:t>
      </w:r>
    </w:p>
    <w:p>
      <w:pPr>
        <w:pStyle w:val="Normal"/>
        <w:spacing w:lineRule="exact" w:line="260"/>
        <w:rPr/>
      </w:pPr>
      <w:r>
        <w:rPr>
          <w:b/>
        </w:rPr>
        <w:t xml:space="preserve">  </w:t>
      </w:r>
      <w:r>
        <w:rPr>
          <w:b/>
        </w:rPr>
        <w:t xml:space="preserve">Paine Webber: </w:t>
      </w:r>
      <w:r>
        <w:rPr/>
        <w:t>(800)272-4125</w:t>
      </w:r>
    </w:p>
    <w:p>
      <w:pPr>
        <w:pStyle w:val="Normal"/>
        <w:spacing w:lineRule="exact" w:line="260"/>
        <w:rPr/>
      </w:pPr>
      <w:r>
        <w:rPr>
          <w:b/>
        </w:rPr>
        <w:t xml:space="preserve">Benefits Hotline:  </w:t>
      </w:r>
      <w:r>
        <w:rPr/>
        <w:t>(713) 853-7979</w:t>
      </w:r>
    </w:p>
    <w:p>
      <w:pPr>
        <w:pStyle w:val="Normal"/>
        <w:spacing w:lineRule="exact" w:line="260"/>
        <w:rPr>
          <w:b/>
        </w:rPr>
      </w:pPr>
      <w:r>
        <w:rPr>
          <w:b/>
        </w:rPr>
        <w:t xml:space="preserve">CIGNA:  </w:t>
      </w:r>
      <w:r>
        <w:rPr/>
        <w:t>(800) 251-0669</w:t>
      </w:r>
    </w:p>
    <w:p>
      <w:pPr>
        <w:pStyle w:val="Normal"/>
        <w:spacing w:lineRule="exact" w:line="260"/>
        <w:rPr>
          <w:b/>
        </w:rPr>
      </w:pPr>
      <w:r>
        <w:rPr>
          <w:b/>
        </w:rPr>
        <w:t xml:space="preserve">Dental: </w:t>
      </w:r>
      <w:r>
        <w:rPr/>
        <w:t>(800) 492-8588</w:t>
      </w:r>
    </w:p>
    <w:p>
      <w:pPr>
        <w:pStyle w:val="Normal"/>
        <w:spacing w:lineRule="exact" w:line="260"/>
        <w:rPr/>
      </w:pPr>
      <w:r>
        <w:rPr>
          <w:b/>
        </w:rPr>
        <w:t xml:space="preserve">Merck-Medco: </w:t>
      </w:r>
      <w:r>
        <w:rPr/>
        <w:t>(800) 457-1020</w:t>
      </w:r>
    </w:p>
    <w:p>
      <w:pPr>
        <w:pStyle w:val="Normal"/>
        <w:spacing w:lineRule="exact" w:line="260"/>
        <w:rPr/>
      </w:pPr>
      <w:r>
        <w:rPr>
          <w:b/>
        </w:rPr>
        <w:t xml:space="preserve">MetLife:  </w:t>
      </w:r>
      <w:r>
        <w:rPr/>
        <w:t>(800) 492-8588</w:t>
      </w:r>
    </w:p>
    <w:p>
      <w:pPr>
        <w:pStyle w:val="Normal"/>
        <w:spacing w:lineRule="exact" w:line="260"/>
        <w:rPr>
          <w:b/>
        </w:rPr>
      </w:pPr>
      <w:r>
        <w:rPr>
          <w:b/>
        </w:rPr>
        <w:t xml:space="preserve">Prescription Drug Plan:  </w:t>
      </w:r>
    </w:p>
    <w:p>
      <w:pPr>
        <w:pStyle w:val="Normal"/>
        <w:spacing w:lineRule="exact" w:line="260"/>
        <w:rPr/>
      </w:pPr>
      <w:r>
        <w:rPr>
          <w:b/>
        </w:rPr>
        <w:t xml:space="preserve">  </w:t>
      </w:r>
      <w:r>
        <w:rPr/>
        <w:t>(800) 457-1020</w:t>
      </w:r>
    </w:p>
    <w:p>
      <w:pPr>
        <w:pStyle w:val="Normal"/>
        <w:spacing w:lineRule="exact" w:line="260"/>
        <w:rPr>
          <w:b/>
        </w:rPr>
      </w:pPr>
      <w:r>
        <w:rPr>
          <w:b/>
        </w:rPr>
        <w:t xml:space="preserve">SAP Hotline: </w:t>
      </w:r>
      <w:r>
        <w:rPr/>
        <w:t>713-345-4727</w:t>
      </w:r>
    </w:p>
    <w:p>
      <w:pPr>
        <w:pStyle w:val="Normal"/>
        <w:spacing w:lineRule="exact" w:line="260"/>
        <w:rPr/>
      </w:pPr>
      <w:r>
        <w:rPr>
          <w:b/>
        </w:rPr>
        <w:t xml:space="preserve">Savings Plan: </w:t>
      </w:r>
      <w:r>
        <w:rPr/>
        <w:t xml:space="preserve">800-316-7526,     </w:t>
      </w:r>
    </w:p>
    <w:p>
      <w:pPr>
        <w:pStyle w:val="Normal"/>
        <w:spacing w:lineRule="exact" w:line="260"/>
        <w:rPr>
          <w:b/>
        </w:rPr>
      </w:pPr>
      <w:r>
        <w:rPr/>
        <w:t xml:space="preserve">  </w:t>
      </w:r>
      <w:r>
        <w:rPr/>
        <w:t>press *0</w:t>
      </w:r>
    </w:p>
    <w:p>
      <w:pPr>
        <w:pStyle w:val="Normal"/>
        <w:spacing w:lineRule="exact" w:line="260"/>
        <w:rPr>
          <w:b/>
        </w:rPr>
      </w:pPr>
      <w:r>
        <w:rPr>
          <w:b/>
        </w:rPr>
        <w:t xml:space="preserve">United HealthCare: </w:t>
      </w:r>
    </w:p>
    <w:p>
      <w:pPr>
        <w:pStyle w:val="Normal"/>
        <w:spacing w:lineRule="exact" w:line="260"/>
        <w:rPr/>
      </w:pPr>
      <w:r>
        <w:rPr>
          <w:b/>
        </w:rPr>
        <w:t xml:space="preserve">  </w:t>
      </w:r>
      <w:r>
        <w:rPr/>
        <w:t>(800) 433-0153</w:t>
      </w:r>
    </w:p>
    <w:p>
      <w:pPr>
        <w:pStyle w:val="Normal"/>
        <w:spacing w:lineRule="exact" w:line="260"/>
        <w:rPr/>
      </w:pPr>
      <w:r>
        <w:rPr>
          <w:b/>
        </w:rPr>
        <w:t xml:space="preserve">Vision Plan:  </w:t>
      </w:r>
      <w:r>
        <w:rPr/>
        <w:t>(800) 877-7195</w:t>
      </w:r>
    </w:p>
    <w:p>
      <w:pPr>
        <w:pStyle w:val="Normal"/>
        <w:rPr/>
      </w:pPr>
      <w:r>
        <w:rPr/>
      </w:r>
    </w:p>
    <w:p>
      <w:pPr>
        <w:pStyle w:val="Normal"/>
        <w:rPr/>
      </w:pPr>
      <w:r>
        <w:rPr/>
      </w:r>
    </w:p>
    <w:p>
      <w:pPr>
        <w:pStyle w:val="Normal"/>
        <w:rPr/>
      </w:pPr>
      <w:r>
        <w:rPr/>
      </w:r>
    </w:p>
    <w:p>
      <w:pPr>
        <w:pStyle w:val="Normal"/>
        <w:rPr/>
      </w:pPr>
      <w:r>
        <w:rPr/>
      </w:r>
    </w:p>
    <w:p>
      <w:pPr>
        <w:sectPr>
          <w:type w:val="continuous"/>
          <w:pgSz w:w="12240" w:h="15840"/>
          <w:pgMar w:left="1392" w:right="1392" w:gutter="0" w:header="0" w:top="1872" w:footer="0" w:bottom="936"/>
          <w:cols w:num="3" w:space="360" w:equalWidth="true" w:sep="true"/>
          <w:formProt w:val="false"/>
          <w:textDirection w:val="lrTb"/>
          <w:docGrid w:type="default" w:linePitch="360" w:charSpace="0"/>
        </w:sectPr>
      </w:pPr>
    </w:p>
    <w:p>
      <w:pPr>
        <w:pStyle w:val="Normal"/>
        <w:rPr/>
      </w:pPr>
      <w:r>
        <w:rPr/>
      </w:r>
    </w:p>
    <w:p>
      <w:pPr>
        <w:sectPr>
          <w:type w:val="continuous"/>
          <w:pgSz w:w="12240" w:h="15840"/>
          <w:pgMar w:left="1536" w:right="1536" w:gutter="0" w:header="0" w:top="1872" w:footer="0" w:bottom="936"/>
          <w:cols w:num="3" w:space="708" w:equalWidth="true" w:sep="true"/>
          <w:formProt w:val="false"/>
          <w:textDirection w:val="lrTb"/>
          <w:docGrid w:type="default" w:linePitch="360" w:charSpace="0"/>
        </w:sectPr>
      </w:pP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1896" w:right="1896" w:gutter="0" w:header="0" w:top="1872" w:footer="0" w:bottom="936"/>
      <w:cols w:num="3" w:space="708" w:equalWidth="true" w:sep="tru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504"/>
        </w:tabs>
        <w:ind w:start="504"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sz w:val="36"/>
    </w:rPr>
  </w:style>
  <w:style w:type="paragraph" w:styleId="Heading2">
    <w:name w:val="heading 2"/>
    <w:basedOn w:val="Normal"/>
    <w:next w:val="Normal"/>
    <w:qFormat/>
    <w:pPr>
      <w:keepNext w:val="true"/>
      <w:numPr>
        <w:ilvl w:val="1"/>
        <w:numId w:val="1"/>
      </w:numPr>
      <w:outlineLvl w:val="1"/>
    </w:pPr>
    <w:rPr>
      <w:b/>
      <w:color w:val="800080"/>
    </w:rPr>
  </w:style>
  <w:style w:type="paragraph" w:styleId="Heading3">
    <w:name w:val="heading 3"/>
    <w:basedOn w:val="Normal"/>
    <w:next w:val="Normal"/>
    <w:qFormat/>
    <w:pPr>
      <w:keepNext w:val="true"/>
      <w:numPr>
        <w:ilvl w:val="2"/>
        <w:numId w:val="1"/>
      </w:numPr>
      <w:outlineLvl w:val="2"/>
    </w:pPr>
    <w:rPr>
      <w:b/>
      <w:color w:val="FF0000"/>
      <w:sz w:val="24"/>
    </w:rPr>
  </w:style>
  <w:style w:type="paragraph" w:styleId="Heading4">
    <w:name w:val="heading 4"/>
    <w:basedOn w:val="Normal"/>
    <w:next w:val="Normal"/>
    <w:qFormat/>
    <w:pPr>
      <w:keepNext w:val="true"/>
      <w:numPr>
        <w:ilvl w:val="3"/>
        <w:numId w:val="1"/>
      </w:numPr>
      <w:spacing w:lineRule="exact" w:line="260"/>
      <w:outlineLvl w:val="3"/>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color w:val="FF0000"/>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enron.benefitsnow.com/" TargetMode="External"/><Relationship Id="rId4" Type="http://schemas.openxmlformats.org/officeDocument/2006/relationships/hyperlink" Target="http://hrweb.enron.com/" TargetMode="External"/><Relationship Id="rId5" Type="http://schemas.openxmlformats.org/officeDocument/2006/relationships/hyperlink" Target="http://hrweb.enron.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2001-10-26T15:40:00Z</dcterms:created>
  <dc:creator>Anne Labbe</dc:creator>
  <dc:description/>
  <dc:language>en-CA</dc:language>
  <cp:lastModifiedBy>scrensh</cp:lastModifiedBy>
  <cp:lastPrinted>2001-10-26T12:36:00Z</cp:lastPrinted>
  <dcterms:modified xsi:type="dcterms:W3CDTF">2001-10-26T15:40:00Z</dcterms:modified>
  <cp:revision>2</cp:revision>
  <dc:subject/>
  <dc:title>Benefits:</dc:title>
</cp:coreProperties>
</file>