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How Open Access Will Help Ensure Adequate Supply</w:t>
      </w:r>
    </w:p>
    <w:p>
      <w:pPr>
        <w:pStyle w:val="Normal"/>
        <w:jc w:val="center"/>
        <w:rPr>
          <w:sz w:val="28"/>
        </w:rPr>
      </w:pPr>
      <w:r>
        <w:rPr>
          <w:sz w:val="28"/>
        </w:rPr>
      </w:r>
    </w:p>
    <w:p>
      <w:pPr>
        <w:pStyle w:val="Normal"/>
        <w:jc w:val="center"/>
        <w:rPr>
          <w:sz w:val="28"/>
        </w:rPr>
      </w:pPr>
      <w:r>
        <w:rPr>
          <w:sz w:val="28"/>
        </w:rPr>
        <w:t>April 16, 2001</w:t>
      </w:r>
    </w:p>
    <w:p>
      <w:pPr>
        <w:pStyle w:val="Normal"/>
        <w:rPr>
          <w:sz w:val="28"/>
        </w:rPr>
      </w:pPr>
      <w:r>
        <w:rPr>
          <w:sz w:val="28"/>
        </w:rPr>
      </w:r>
    </w:p>
    <w:p>
      <w:pPr>
        <w:pStyle w:val="Normal"/>
        <w:rPr>
          <w:b/>
          <w:bCs/>
        </w:rPr>
      </w:pPr>
      <w:r>
        <w:rPr>
          <w:b/>
          <w:bCs/>
        </w:rPr>
        <w:t>Open Access Will Result in Additional Power Supply Through Full Grid Utilization</w:t>
      </w:r>
    </w:p>
    <w:p>
      <w:pPr>
        <w:pStyle w:val="Normal"/>
        <w:rPr/>
      </w:pPr>
      <w:r>
        <w:rPr/>
        <w:t>Full open access, including elimination of the native load exception, will result in an increase of 1-4 percent (1-3 percent increase in the west, 2-4 percent increase in the east) of additional power supply, without building any new generation.  In the Western Interconnect, with generation capacity of approximately 135,000 MW, on any given day this could result in an increase of 1,350-4,050 MW.  This could be the difference between having the lights stay on or go out.</w:t>
      </w:r>
    </w:p>
    <w:p>
      <w:pPr>
        <w:pStyle w:val="Normal"/>
        <w:rPr/>
      </w:pPr>
      <w:r>
        <w:rPr/>
      </w:r>
    </w:p>
    <w:p>
      <w:pPr>
        <w:pStyle w:val="Normal"/>
        <w:rPr/>
      </w:pPr>
      <w:r>
        <w:rPr/>
        <w:t>In addition to preventing the most economically priced power from reaching the market, the native load exception can also have the effect of limiting the amount of power that is ultimately wheeled over transmission lines.  This is because the utility is not motivated to fully load its transmission lines (either due to competitive reasons or lack of interest), resulting in an under-utilization of the transmission lines.  Consequently, at times of peak demand, when supply is most needed, a certain amount of megawatts will most likely not get to market, resulting in unnecessary supply shortages and/or price increases.  Furthermore, if transmission reserved for native load is released to the market, it is typically released within-the-day on a non-firm basis only.  Scheduling transmission at the last minute results in mistakes and errors, and ultimately an inefficient use of the transmission system.  At times of tight power supply, when every megawatt counts, this type of inefficiency cannot be tolerated.</w:t>
      </w:r>
    </w:p>
    <w:p>
      <w:pPr>
        <w:pStyle w:val="Normal"/>
        <w:rPr/>
      </w:pPr>
      <w:r>
        <w:rPr/>
      </w:r>
    </w:p>
    <w:p>
      <w:pPr>
        <w:pStyle w:val="Normal"/>
        <w:rPr/>
      </w:pPr>
      <w:r>
        <w:rPr/>
        <w:t>If FERC exercises its jurisdiction over the entire interstate grid, FERC can ensure (through rate incentives or penalties) that utilities maximize throughput so that every available megawatt of power is delivered to those markets most in need of the power.</w:t>
      </w:r>
    </w:p>
    <w:p>
      <w:pPr>
        <w:pStyle w:val="Normal"/>
        <w:rPr/>
      </w:pPr>
      <w:r>
        <w:rPr/>
      </w:r>
    </w:p>
    <w:p>
      <w:pPr>
        <w:pStyle w:val="Normal"/>
        <w:rPr>
          <w:b/>
          <w:bCs/>
        </w:rPr>
      </w:pPr>
      <w:r>
        <w:rPr>
          <w:b/>
          <w:bCs/>
        </w:rPr>
        <w:t>Open Access Eliminates Grid Balkanization</w:t>
      </w:r>
    </w:p>
    <w:p>
      <w:pPr>
        <w:pStyle w:val="Normal"/>
        <w:rPr/>
      </w:pPr>
      <w:r>
        <w:rPr/>
        <w:t>Supply problems already exist in the west and are expected to spread to other areas of the country.  If supply problems do widen, state regulators will be motivated to “close their borders” to exports by ordering their own in-state utilities to reserve for native load use all import and export transmission.  Although a clear interference in interstate commerce, the states would be able to require this action because of FERC’s claimed lack of jurisdiction over native load transmission.</w:t>
      </w:r>
    </w:p>
    <w:p>
      <w:pPr>
        <w:pStyle w:val="Normal"/>
        <w:rPr/>
      </w:pPr>
      <w:r>
        <w:rPr/>
      </w:r>
    </w:p>
    <w:p>
      <w:pPr>
        <w:pStyle w:val="Normal"/>
        <w:rPr/>
      </w:pPr>
      <w:r>
        <w:rPr/>
        <w:t xml:space="preserve">To prevent state interference in interstate commence, FERC must act now to take jurisdiction over all uses of the transmission grid, including transmission used in bundled retail sales.  By subjecting all transmission to FERC’s jurisdiction, states will be unable to exercise parochial control over the interstate transmission grid and FERC will be able to ensure that power flows freely to the markets where it is most needed.  </w:t>
      </w:r>
    </w:p>
    <w:p>
      <w:pPr>
        <w:pStyle w:val="Normal"/>
        <w:rPr/>
      </w:pPr>
      <w:r>
        <w:rPr/>
      </w:r>
    </w:p>
    <w:p>
      <w:pPr>
        <w:pStyle w:val="Heading3"/>
        <w:ind w:hanging="0" w:start="0"/>
        <w:rPr/>
      </w:pPr>
      <w:r>
        <w:rPr/>
        <w:t>EXAMPLES OF CURRENT PROBLEMS IN TRANSMISSION ACCESS</w:t>
      </w:r>
    </w:p>
    <w:p>
      <w:pPr>
        <w:pStyle w:val="Normal"/>
        <w:rPr/>
      </w:pPr>
      <w:r>
        <w:rPr/>
      </w:r>
    </w:p>
    <w:p>
      <w:pPr>
        <w:pStyle w:val="Normal"/>
        <w:rPr>
          <w:b/>
          <w:bCs/>
        </w:rPr>
      </w:pPr>
      <w:r>
        <w:rPr>
          <w:b/>
          <w:bCs/>
        </w:rPr>
        <w:t>1.</w:t>
        <w:tab/>
        <w:t>Bonneville Power Authority</w:t>
      </w:r>
    </w:p>
    <w:p>
      <w:pPr>
        <w:pStyle w:val="Normal"/>
        <w:rPr/>
      </w:pPr>
      <w:r>
        <w:rPr/>
        <w:t>The Bonneville Power Authority (BPA) has a separate power-marketing arm.  The marketing arm has purchased a significant amount of transmission capacity from its affiliate, BPA.  Due to lower hydropower output this year, the BPA marketing affiliate does not need the transmission capacity it has reserved.  However, for unknown reasons, the marketing unit has not released the capacity, and the capacity is available only within-the-day on a non-firm (</w:t>
      </w:r>
      <w:r>
        <w:rPr>
          <w:i/>
          <w:iCs/>
        </w:rPr>
        <w:t>i.e.,</w:t>
      </w:r>
      <w:r>
        <w:rPr/>
        <w:t xml:space="preserve"> spot market) basis.  By not releasing this capacity, which the marketing unit clearly will not be using for some time in the future, other competitive suppliers who do have power available for sale are prevented from accessing this capacity on a forward basis.  If power suppliers are unable to purchase firm transmission on a forward basis, they in turn will be unable to sell power on a firm, forward basis, unnecessarily forcing both power suppliers and power purchasers into the spot market.</w:t>
      </w:r>
    </w:p>
    <w:p>
      <w:pPr>
        <w:pStyle w:val="Normal"/>
        <w:rPr/>
      </w:pPr>
      <w:r>
        <w:rPr/>
      </w:r>
    </w:p>
    <w:p>
      <w:pPr>
        <w:pStyle w:val="Normal"/>
        <w:jc w:val="both"/>
        <w:rPr>
          <w:b/>
          <w:bCs/>
        </w:rPr>
      </w:pPr>
      <w:r>
        <w:rPr>
          <w:b/>
          <w:bCs/>
        </w:rPr>
        <w:t>2.</w:t>
        <w:tab/>
        <w:t>California Ancillary Services</w:t>
      </w:r>
    </w:p>
    <w:p>
      <w:pPr>
        <w:pStyle w:val="Normal"/>
        <w:rPr/>
      </w:pPr>
      <w:r>
        <w:rPr/>
        <w:t xml:space="preserve">Power suppliers are permitted to sell ancillary services into the California market, provided that they are able to make within-the-hour adjustments to their bids.  Due to inflexible BPA rules, power from the Pacific Northwest that could otherwise be used for California ancillary services cannot be used.  (BPA will not permit within-the-hour adjustments on its system.)  FERC jurisdiction over all transmission, including the transmission owned by Federal Power Marketing Agencies, would allow FERC to order BPA to amend its rules to permit suppliers to provide much-needed ancillary services to the California market.  </w:t>
      </w:r>
    </w:p>
    <w:p>
      <w:pPr>
        <w:pStyle w:val="Normal"/>
        <w:rPr/>
      </w:pPr>
      <w:r>
        <w:rPr/>
      </w:r>
    </w:p>
    <w:p>
      <w:pPr>
        <w:pStyle w:val="BodyText"/>
        <w:jc w:val="start"/>
        <w:rPr>
          <w:sz w:val="24"/>
        </w:rPr>
      </w:pPr>
      <w:r>
        <w:rPr>
          <w:sz w:val="24"/>
        </w:rPr>
        <w:t>3.</w:t>
        <w:tab/>
        <w:t>Poor OASIS Posting</w:t>
      </w:r>
    </w:p>
    <w:p>
      <w:pPr>
        <w:pStyle w:val="Normal"/>
        <w:rPr/>
      </w:pPr>
      <w:r>
        <w:rPr/>
        <w:t>Some operators make their initial ATC determination on a daily basis (and update it only sporadically); others post a single presumptive ATC value for a month or longer.  A utility that calculates its initial ATC value based on a daily average will significantly understate availability for some hours of each day while overstating for others.  A utility that posts a single value for a month or season (which typically is derived from a worst case scenario for peak load during the period) invariably under reports availability for all but the peak hour.  The transmission system use will not be maximized if ATC OASIS postings are understated.</w:t>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jc w:val="center"/>
      <w:outlineLvl w:val="2"/>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bCs/>
      <w:color w:val="000000"/>
      <w:sz w:val="4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2001-04-20T17:48:00Z</dcterms:created>
  <dc:creator>lsulliv</dc:creator>
  <dc:description/>
  <dc:language>en-CA</dc:language>
  <cp:lastModifiedBy>lsulliv</cp:lastModifiedBy>
  <dcterms:modified xsi:type="dcterms:W3CDTF">2001-04-20T17:48:00Z</dcterms:modified>
  <cp:revision>2</cp:revision>
  <dc:subject/>
  <dc:title>How Open Access Will Help Ensure Adequate Supply</dc:title>
</cp:coreProperties>
</file>