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bookmarkStart w:id="0" w:name="_Ref527450393"/>
      <w:r>
        <w:rPr>
          <w:color w:val="000080"/>
          <w:u w:val="single"/>
        </w:rPr>
        <w:t>Guarantees of Participation</w:t>
      </w:r>
      <w:r>
        <w:rPr>
          <w:color w:val="000080"/>
        </w:rPr>
        <w:t>.</w:t>
      </w:r>
      <w:bookmarkEnd w:id="0"/>
    </w:p>
    <w:p>
      <w:pPr>
        <w:pStyle w:val="Normal"/>
        <w:ind w:start="720" w:end="0"/>
        <w:rPr>
          <w:color w:val="000080"/>
        </w:rPr>
      </w:pPr>
      <w:r>
        <w:rPr>
          <w:color w:val="000080"/>
        </w:rPr>
        <w:t>The Ontario Independent Market Operator's (IMO) has established the following creditworthiness policy to ensure that a participant can meet its obligations and to protect against the risk of non-payment of invoices.  A summary of this policy is as follows:</w:t>
      </w:r>
    </w:p>
    <w:p>
      <w:pPr>
        <w:pStyle w:val="Normal"/>
        <w:numPr>
          <w:ilvl w:val="0"/>
          <w:numId w:val="1"/>
        </w:numPr>
        <w:rPr>
          <w:color w:val="000080"/>
        </w:rPr>
      </w:pPr>
      <w:r>
        <w:rPr>
          <w:color w:val="000080"/>
        </w:rPr>
        <w:t>A prudential support obligation is determined for every market participant. This obligation may be reduced due to the participant’s credit rating or payment history. In the case of using the credit rating, below are the allowable reductions.</w:t>
      </w:r>
    </w:p>
    <w:p>
      <w:pPr>
        <w:pStyle w:val="Normal"/>
        <w:rPr>
          <w:color w:val="000080"/>
        </w:rPr>
      </w:pPr>
      <w:r>
        <w:rPr>
          <w:color w:val="000080"/>
        </w:rPr>
      </w:r>
    </w:p>
    <w:tbl>
      <w:tblPr>
        <w:tblW w:w="9270" w:type="dxa"/>
        <w:jc w:val="start"/>
        <w:tblInd w:w="108" w:type="dxa"/>
        <w:tblLayout w:type="fixed"/>
        <w:tblCellMar>
          <w:top w:w="0" w:type="dxa"/>
          <w:start w:w="108" w:type="dxa"/>
          <w:bottom w:w="0" w:type="dxa"/>
          <w:end w:w="108" w:type="dxa"/>
        </w:tblCellMar>
      </w:tblPr>
      <w:tblGrid>
        <w:gridCol w:w="4635"/>
        <w:gridCol w:w="4635"/>
      </w:tblGrid>
      <w:tr>
        <w:trPr/>
        <w:tc>
          <w:tcPr>
            <w:tcW w:w="4635" w:type="dxa"/>
            <w:tcBorders>
              <w:top w:val="single" w:sz="4" w:space="0" w:color="000000"/>
              <w:start w:val="single" w:sz="4" w:space="0" w:color="000000"/>
              <w:bottom w:val="single" w:sz="4" w:space="0" w:color="000000"/>
              <w:end w:val="single" w:sz="4" w:space="0" w:color="000000"/>
            </w:tcBorders>
          </w:tcPr>
          <w:p>
            <w:pPr>
              <w:pStyle w:val="TableHeader"/>
              <w:keepNext w:val="true"/>
              <w:spacing w:before="40" w:after="40"/>
              <w:rPr/>
            </w:pPr>
            <w:r>
              <w:rPr/>
              <w:t>Credit Rating using Standard and Poor’s Rating Terminology</w:t>
            </w:r>
          </w:p>
        </w:tc>
        <w:tc>
          <w:tcPr>
            <w:tcW w:w="4635" w:type="dxa"/>
            <w:tcBorders>
              <w:top w:val="single" w:sz="4" w:space="0" w:color="000000"/>
              <w:start w:val="single" w:sz="4" w:space="0" w:color="000000"/>
              <w:bottom w:val="single" w:sz="4" w:space="0" w:color="000000"/>
              <w:end w:val="single" w:sz="4" w:space="0" w:color="000000"/>
            </w:tcBorders>
          </w:tcPr>
          <w:p>
            <w:pPr>
              <w:pStyle w:val="TableHeader"/>
              <w:spacing w:before="40" w:after="40"/>
              <w:rPr/>
            </w:pPr>
            <w:r>
              <w:rPr/>
              <w:t>Allowable Reduction in Prudential Support - $</w:t>
            </w:r>
          </w:p>
        </w:tc>
      </w:tr>
      <w:tr>
        <w:trPr/>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AAA or equivalent</w:t>
            </w:r>
          </w:p>
        </w:tc>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50,000,000</w:t>
            </w:r>
          </w:p>
        </w:tc>
      </w:tr>
      <w:tr>
        <w:trPr/>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From AA to below AAA or equivalent</w:t>
            </w:r>
          </w:p>
        </w:tc>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25,000,000</w:t>
            </w:r>
          </w:p>
        </w:tc>
      </w:tr>
      <w:tr>
        <w:trPr/>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From A to below AA or equivalent</w:t>
            </w:r>
          </w:p>
        </w:tc>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12,500,000</w:t>
            </w:r>
          </w:p>
        </w:tc>
      </w:tr>
      <w:tr>
        <w:trPr/>
        <w:tc>
          <w:tcPr>
            <w:tcW w:w="4635" w:type="dxa"/>
            <w:tcBorders>
              <w:top w:val="single" w:sz="4" w:space="0" w:color="000000"/>
              <w:start w:val="single" w:sz="4" w:space="0" w:color="000000"/>
              <w:end w:val="single" w:sz="4" w:space="0" w:color="000000"/>
            </w:tcBorders>
          </w:tcPr>
          <w:p>
            <w:pPr>
              <w:pStyle w:val="TableText"/>
              <w:widowControl/>
              <w:bidi w:val="0"/>
              <w:spacing w:before="60" w:after="60"/>
              <w:ind w:hanging="230" w:start="230" w:end="0"/>
              <w:rPr/>
            </w:pPr>
            <w:r>
              <w:rPr/>
              <w:t>From BBB to below A or equivalent</w:t>
            </w:r>
          </w:p>
        </w:tc>
        <w:tc>
          <w:tcPr>
            <w:tcW w:w="4635" w:type="dxa"/>
            <w:tcBorders>
              <w:top w:val="single" w:sz="4" w:space="0" w:color="000000"/>
              <w:start w:val="single" w:sz="4" w:space="0" w:color="000000"/>
              <w:end w:val="single" w:sz="4" w:space="0" w:color="000000"/>
            </w:tcBorders>
          </w:tcPr>
          <w:p>
            <w:pPr>
              <w:pStyle w:val="TableText"/>
              <w:widowControl/>
              <w:bidi w:val="0"/>
              <w:spacing w:before="60" w:after="60"/>
              <w:ind w:hanging="230" w:start="230" w:end="0"/>
              <w:rPr/>
            </w:pPr>
            <w:r>
              <w:rPr/>
              <w:t>5,000,000</w:t>
            </w:r>
          </w:p>
        </w:tc>
      </w:tr>
      <w:tr>
        <w:trPr/>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Below BBB or equivalent</w:t>
            </w:r>
          </w:p>
        </w:tc>
        <w:tc>
          <w:tcPr>
            <w:tcW w:w="4635"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60" w:after="60"/>
              <w:ind w:hanging="230" w:start="230" w:end="0"/>
              <w:rPr/>
            </w:pPr>
            <w:r>
              <w:rPr/>
              <w:t>0</w:t>
            </w:r>
          </w:p>
        </w:tc>
      </w:tr>
    </w:tbl>
    <w:p>
      <w:pPr>
        <w:pStyle w:val="Normal"/>
        <w:rPr>
          <w:color w:val="000080"/>
        </w:rPr>
      </w:pPr>
      <w:r>
        <w:rPr>
          <w:color w:val="000080"/>
        </w:rPr>
      </w:r>
    </w:p>
    <w:p>
      <w:pPr>
        <w:pStyle w:val="Normal"/>
        <w:numPr>
          <w:ilvl w:val="0"/>
          <w:numId w:val="1"/>
        </w:numPr>
        <w:rPr>
          <w:color w:val="000080"/>
        </w:rPr>
      </w:pPr>
      <w:r>
        <w:rPr>
          <w:color w:val="000080"/>
        </w:rPr>
        <w:t>Any recommendation to move a market participant to “credit watch status” shall be deemed to automatically result in a one-rating-category reduction for the purpose of determining the market participant’s prudential support obligation (Market Rules, Chapter 2, section 5.8.2)..</w:t>
      </w:r>
    </w:p>
    <w:p>
      <w:pPr>
        <w:pStyle w:val="Normal"/>
        <w:numPr>
          <w:ilvl w:val="0"/>
          <w:numId w:val="1"/>
        </w:numPr>
        <w:rPr>
          <w:color w:val="000080"/>
        </w:rPr>
      </w:pPr>
      <w:r>
        <w:rPr>
          <w:color w:val="000080"/>
        </w:rPr>
        <w:t xml:space="preserve">Where the participant’s prudential support obligation reflects a reduction by reason of the credit rating, the participant must advice the IMO in writing </w:t>
      </w:r>
      <w:r>
        <w:rPr>
          <w:color w:val="000080"/>
          <w:u w:val="single"/>
        </w:rPr>
        <w:t>immediately</w:t>
      </w:r>
      <w:r>
        <w:rPr>
          <w:color w:val="000080"/>
        </w:rPr>
        <w:t xml:space="preserve"> upon becoming aware of either a change of the credit rating or the decision to place the participant in “credit watch” (Credit Support Agreement, section 2.4).</w:t>
      </w:r>
    </w:p>
    <w:p>
      <w:pPr>
        <w:pStyle w:val="Normal"/>
        <w:numPr>
          <w:ilvl w:val="0"/>
          <w:numId w:val="1"/>
        </w:numPr>
        <w:rPr>
          <w:color w:val="000080"/>
        </w:rPr>
      </w:pPr>
      <w:r>
        <w:rPr>
          <w:color w:val="000080"/>
        </w:rPr>
        <w:t xml:space="preserve">Where a market participant’s prudential support obligation has been reduced pursuant to credit rating (or historical good payment history) and the relevant credit rating is revised (or the relevant payment history has changed), such as to result in an increase in the market participant’s prudential support obligation then, </w:t>
      </w:r>
      <w:r>
        <w:rPr>
          <w:color w:val="000080"/>
          <w:u w:val="single"/>
        </w:rPr>
        <w:t>within five business days</w:t>
      </w:r>
      <w:r>
        <w:rPr>
          <w:color w:val="000080"/>
        </w:rPr>
        <w:t>, the market participant must provide to the IMO additional prudential support such that the total prudential support provided is equal to the market participant’s prudential support obligation (Market Rules, Chapter 2, section 5.2.6).</w:t>
      </w:r>
    </w:p>
    <w:p>
      <w:pPr>
        <w:pStyle w:val="Normal"/>
        <w:numPr>
          <w:ilvl w:val="0"/>
          <w:numId w:val="1"/>
        </w:numPr>
        <w:rPr>
          <w:color w:val="000080"/>
        </w:rPr>
      </w:pPr>
      <w:r>
        <w:rPr>
          <w:color w:val="000080"/>
        </w:rPr>
        <w:t>As a BBB rated company, Enron should have been provided an allowable reduction in prudential support of $5 million.  According to the market rules (section 5.8.2), the announcement of being placed on "credit watch" would result in Enron being automatically downgraded to below BBB, which means that Enron no longer qualifies for an allowable reduction. Enron would need to replace the $5 million with additional prudential support within five business days.</w:t>
      </w:r>
    </w:p>
    <w:p>
      <w:pPr>
        <w:pStyle w:val="Normal"/>
        <w:numPr>
          <w:ilvl w:val="0"/>
          <w:numId w:val="1"/>
        </w:numPr>
        <w:rPr>
          <w:color w:val="000080"/>
        </w:rPr>
      </w:pPr>
      <w:r>
        <w:rPr>
          <w:color w:val="000080"/>
        </w:rPr>
        <w:t xml:space="preserve">A market participant’s prudential support obligation must be met through the provision of: letter of credit, guarantee by person having credit rating, cash or treasury bills.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nualBodyText3">
    <w:name w:val="Manual Body Text 3"/>
    <w:qFormat/>
    <w:pPr>
      <w:widowControl/>
      <w:tabs>
        <w:tab w:val="clear" w:pos="720"/>
        <w:tab w:val="left" w:pos="1080" w:leader="none"/>
      </w:tabs>
      <w:bidi w:val="0"/>
      <w:spacing w:before="0" w:after="240"/>
      <w:ind w:hanging="1080" w:start="1080" w:end="0"/>
    </w:pPr>
    <w:rPr>
      <w:rFonts w:ascii="Times New Roman" w:hAnsi="Times New Roman" w:eastAsia="Times New Roman" w:cs="Times New Roman"/>
      <w:color w:val="auto"/>
      <w:sz w:val="24"/>
      <w:szCs w:val="20"/>
      <w:lang w:val="en-US" w:eastAsia="en-CA" w:bidi="ar-SA"/>
    </w:rPr>
  </w:style>
  <w:style w:type="paragraph" w:styleId="TableText">
    <w:name w:val="Table Text"/>
    <w:qFormat/>
    <w:pPr>
      <w:widowControl/>
      <w:bidi w:val="0"/>
      <w:spacing w:before="60" w:after="60"/>
      <w:ind w:hanging="230" w:start="230" w:end="0"/>
    </w:pPr>
    <w:rPr>
      <w:rFonts w:ascii="Arial" w:hAnsi="Arial" w:eastAsia="Times New Roman" w:cs="Arial"/>
      <w:color w:val="auto"/>
      <w:sz w:val="16"/>
      <w:szCs w:val="20"/>
      <w:lang w:val="en-US" w:bidi="ar-SA" w:eastAsia="zh-CN"/>
    </w:rPr>
  </w:style>
  <w:style w:type="paragraph" w:styleId="TableHeader">
    <w:name w:val="Table Header"/>
    <w:basedOn w:val="Normal"/>
    <w:qFormat/>
    <w:pPr>
      <w:spacing w:before="40" w:after="40"/>
    </w:pPr>
    <w:rPr>
      <w:b/>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2001-11-02T20:44:00Z</dcterms:created>
  <dc:creator>gcanovas</dc:creator>
  <dc:description/>
  <dc:language>en-CA</dc:language>
  <cp:lastModifiedBy>gcanovas</cp:lastModifiedBy>
  <dcterms:modified xsi:type="dcterms:W3CDTF">2001-11-02T20:44:00Z</dcterms:modified>
  <cp:revision>2</cp:revision>
  <dc:subject/>
  <dc:title>Guarantees of Participation</dc:title>
</cp:coreProperties>
</file>