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drawing>
          <wp:inline distT="0" distB="0" distL="0" distR="0">
            <wp:extent cx="995680" cy="9899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995680" cy="989965"/>
                    </a:xfrm>
                    <a:prstGeom prst="rect">
                      <a:avLst/>
                    </a:prstGeom>
                    <a:noFill/>
                  </pic:spPr>
                </pic:pic>
              </a:graphicData>
            </a:graphic>
          </wp:inline>
        </w:drawing>
      </w:r>
    </w:p>
    <w:p>
      <w:pPr>
        <w:pStyle w:val="Heading1"/>
        <w:tabs>
          <w:tab w:val="clear" w:pos="540"/>
        </w:tabs>
        <w:ind w:hanging="0" w:start="0"/>
        <w:jc w:val="center"/>
        <w:rPr>
          <w:sz w:val="22"/>
          <w:u w:val="single"/>
        </w:rPr>
      </w:pPr>
      <w:r>
        <w:rPr>
          <w:sz w:val="22"/>
          <w:u w:val="single"/>
        </w:rPr>
        <w:t>CONFIDENTIAL ONTARIO BRIEFING NOTE – June 19 Visit</w:t>
      </w:r>
    </w:p>
    <w:p>
      <w:pPr>
        <w:pStyle w:val="Normal"/>
        <w:jc w:val="both"/>
        <w:rPr>
          <w:sz w:val="22"/>
          <w:u w:val="single"/>
        </w:rPr>
      </w:pPr>
      <w:r>
        <w:rPr>
          <w:sz w:val="22"/>
          <w:u w:val="single"/>
        </w:rPr>
      </w:r>
    </w:p>
    <w:p>
      <w:pPr>
        <w:pStyle w:val="Normal"/>
        <w:jc w:val="both"/>
        <w:rPr/>
      </w:pPr>
      <w:r>
        <w:rPr>
          <w:sz w:val="22"/>
        </w:rPr>
        <w:t>(Note:  This briefing note is intended to “roll forward” from the briefing note prepared in connection with the April 4</w:t>
      </w:r>
      <w:r>
        <w:rPr>
          <w:sz w:val="22"/>
          <w:vertAlign w:val="superscript"/>
        </w:rPr>
        <w:t>th</w:t>
      </w:r>
      <w:r>
        <w:rPr>
          <w:sz w:val="22"/>
        </w:rPr>
        <w:t xml:space="preserve"> Board of Trade event).</w:t>
      </w:r>
    </w:p>
    <w:p>
      <w:pPr>
        <w:pStyle w:val="Normal"/>
        <w:rPr>
          <w:sz w:val="22"/>
        </w:rPr>
      </w:pPr>
      <w:r>
        <w:rPr>
          <w:sz w:val="22"/>
        </w:rPr>
      </w:r>
    </w:p>
    <w:p>
      <w:pPr>
        <w:pStyle w:val="Heading1"/>
        <w:ind w:hanging="0" w:start="0"/>
        <w:jc w:val="both"/>
        <w:rPr/>
      </w:pPr>
      <w:r>
        <w:rPr>
          <w:sz w:val="22"/>
        </w:rPr>
        <w:t>I.</w:t>
        <w:tab/>
      </w:r>
      <w:r>
        <w:rPr>
          <w:sz w:val="22"/>
          <w:u w:val="single"/>
        </w:rPr>
        <w:t>Background (Since April 4</w:t>
      </w:r>
      <w:r>
        <w:rPr>
          <w:sz w:val="22"/>
          <w:u w:val="single"/>
          <w:vertAlign w:val="superscript"/>
        </w:rPr>
        <w:t>th</w:t>
      </w:r>
      <w:r>
        <w:rPr>
          <w:i/>
          <w:iCs/>
          <w:sz w:val="22"/>
          <w:u w:val="single"/>
        </w:rPr>
        <w:t>)</w:t>
      </w:r>
    </w:p>
    <w:p>
      <w:pPr>
        <w:pStyle w:val="Normal"/>
        <w:jc w:val="both"/>
        <w:rPr>
          <w:rFonts w:cs="Arial"/>
          <w:i/>
          <w:i/>
          <w:iCs/>
          <w:sz w:val="22"/>
          <w:u w:val="single"/>
        </w:rPr>
      </w:pPr>
      <w:r>
        <w:rPr>
          <w:rFonts w:cs="Arial"/>
          <w:i/>
          <w:iCs/>
          <w:sz w:val="22"/>
          <w:u w:val="single"/>
        </w:rPr>
      </w:r>
    </w:p>
    <w:p>
      <w:pPr>
        <w:pStyle w:val="Normal"/>
        <w:numPr>
          <w:ilvl w:val="0"/>
          <w:numId w:val="4"/>
        </w:numPr>
        <w:jc w:val="both"/>
        <w:rPr>
          <w:rFonts w:cs="Arial"/>
          <w:sz w:val="22"/>
        </w:rPr>
      </w:pPr>
      <w:r>
        <w:rPr>
          <w:rFonts w:cs="Arial"/>
          <w:sz w:val="22"/>
        </w:rPr>
        <w:t>The key developments since Ken Lay’s visit to Toronto on April 4 are as follows:</w:t>
      </w:r>
    </w:p>
    <w:p>
      <w:pPr>
        <w:pStyle w:val="Normal"/>
        <w:ind w:start="360" w:end="0"/>
        <w:jc w:val="both"/>
        <w:rPr>
          <w:rFonts w:cs="Arial"/>
          <w:sz w:val="22"/>
        </w:rPr>
      </w:pPr>
      <w:r>
        <w:rPr>
          <w:rFonts w:cs="Arial"/>
          <w:sz w:val="22"/>
        </w:rPr>
      </w:r>
    </w:p>
    <w:p>
      <w:pPr>
        <w:pStyle w:val="Header"/>
        <w:numPr>
          <w:ilvl w:val="1"/>
          <w:numId w:val="4"/>
        </w:numPr>
        <w:tabs>
          <w:tab w:val="clear" w:pos="4320"/>
          <w:tab w:val="clear" w:pos="8640"/>
          <w:tab w:val="clear" w:pos="9360"/>
        </w:tabs>
        <w:ind w:hanging="360" w:start="1080" w:end="0"/>
        <w:jc w:val="both"/>
        <w:rPr>
          <w:rFonts w:cs="Arial"/>
          <w:sz w:val="22"/>
        </w:rPr>
      </w:pPr>
      <w:r>
        <w:rPr>
          <w:rFonts w:cs="Arial"/>
          <w:sz w:val="22"/>
        </w:rPr>
        <w:t>In late April, the Government announced that the Ontario power market would open to competition “by” May 2002, but “possibly sooner” if the Government’s four “guiding principles” are satisfied sooner (see Part IV below).</w:t>
      </w:r>
    </w:p>
    <w:p>
      <w:pPr>
        <w:pStyle w:val="Header"/>
        <w:tabs>
          <w:tab w:val="clear" w:pos="4320"/>
          <w:tab w:val="clear" w:pos="8640"/>
          <w:tab w:val="left" w:pos="1080" w:leader="none"/>
          <w:tab w:val="right" w:pos="9360" w:leader="none"/>
        </w:tabs>
        <w:ind w:hanging="720" w:start="1080" w:end="0"/>
        <w:jc w:val="both"/>
        <w:rPr>
          <w:rFonts w:cs="Arial"/>
          <w:sz w:val="22"/>
        </w:rPr>
      </w:pPr>
      <w:r>
        <w:rPr>
          <w:rFonts w:cs="Arial"/>
          <w:sz w:val="22"/>
        </w:rPr>
      </w:r>
    </w:p>
    <w:p>
      <w:pPr>
        <w:pStyle w:val="Header"/>
        <w:numPr>
          <w:ilvl w:val="1"/>
          <w:numId w:val="4"/>
        </w:numPr>
        <w:tabs>
          <w:tab w:val="clear" w:pos="4320"/>
          <w:tab w:val="clear" w:pos="8640"/>
          <w:tab w:val="left" w:pos="1080" w:leader="none"/>
          <w:tab w:val="right" w:pos="9360" w:leader="none"/>
        </w:tabs>
        <w:ind w:hanging="360" w:start="1080" w:end="0"/>
        <w:jc w:val="both"/>
        <w:rPr>
          <w:rFonts w:cs="Arial"/>
          <w:sz w:val="22"/>
        </w:rPr>
      </w:pPr>
      <w:r>
        <w:rPr>
          <w:rFonts w:cs="Arial"/>
          <w:sz w:val="22"/>
        </w:rPr>
        <w:t>The Ontario Government has outlined four “principles” that will “guide” the opening of the Province’s electricity market.  The announcement of these “guiding principles” serves two purposes for the Government.  First, they are designed to help persuade the public, in the wake of California, that the Government is taking a careful and cautious approach to deregulation.  Second, they provide the Government with some flexibility around the decision to proceed or not to proceed with market opening.</w:t>
      </w:r>
    </w:p>
    <w:p>
      <w:pPr>
        <w:pStyle w:val="Header"/>
        <w:tabs>
          <w:tab w:val="clear" w:pos="4320"/>
          <w:tab w:val="clear" w:pos="8640"/>
          <w:tab w:val="left" w:pos="1080" w:leader="none"/>
          <w:tab w:val="right" w:pos="9360" w:leader="none"/>
        </w:tabs>
        <w:ind w:hanging="720" w:end="0"/>
        <w:jc w:val="both"/>
        <w:rPr>
          <w:rFonts w:cs="Arial"/>
          <w:sz w:val="22"/>
        </w:rPr>
      </w:pPr>
      <w:r>
        <w:rPr>
          <w:rFonts w:cs="Arial"/>
          <w:sz w:val="22"/>
        </w:rPr>
      </w:r>
    </w:p>
    <w:p>
      <w:pPr>
        <w:pStyle w:val="Header"/>
        <w:numPr>
          <w:ilvl w:val="1"/>
          <w:numId w:val="4"/>
        </w:numPr>
        <w:tabs>
          <w:tab w:val="clear" w:pos="4320"/>
          <w:tab w:val="clear" w:pos="8640"/>
          <w:tab w:val="left" w:pos="1080" w:leader="none"/>
          <w:tab w:val="right" w:pos="9360" w:leader="none"/>
        </w:tabs>
        <w:ind w:hanging="720" w:start="1440" w:end="0"/>
        <w:jc w:val="both"/>
        <w:rPr>
          <w:rFonts w:cs="Arial"/>
          <w:sz w:val="22"/>
        </w:rPr>
      </w:pPr>
      <w:r>
        <w:rPr>
          <w:rFonts w:cs="Arial"/>
          <w:sz w:val="22"/>
        </w:rPr>
        <w:t>Those “guiding principles” are as follows:</w:t>
      </w:r>
    </w:p>
    <w:p>
      <w:pPr>
        <w:pStyle w:val="Normal"/>
        <w:tabs>
          <w:tab w:val="left" w:pos="540" w:leader="none"/>
          <w:tab w:val="left" w:pos="1080" w:leader="none"/>
        </w:tabs>
        <w:ind w:hanging="720" w:end="0"/>
        <w:jc w:val="both"/>
        <w:rPr>
          <w:rFonts w:cs="Arial"/>
          <w:sz w:val="22"/>
        </w:rPr>
      </w:pPr>
      <w:r>
        <w:rPr>
          <w:rFonts w:cs="Arial"/>
          <w:sz w:val="22"/>
        </w:rPr>
      </w:r>
    </w:p>
    <w:p>
      <w:pPr>
        <w:pStyle w:val="Normal"/>
        <w:numPr>
          <w:ilvl w:val="2"/>
          <w:numId w:val="6"/>
        </w:numPr>
        <w:tabs>
          <w:tab w:val="left" w:pos="540" w:leader="none"/>
          <w:tab w:val="left" w:pos="1080" w:leader="none"/>
        </w:tabs>
        <w:ind w:hanging="720" w:start="2160" w:end="0"/>
        <w:jc w:val="both"/>
        <w:rPr>
          <w:rFonts w:cs="Arial"/>
          <w:i/>
          <w:i/>
          <w:iCs/>
          <w:sz w:val="22"/>
        </w:rPr>
      </w:pPr>
      <w:r>
        <w:rPr>
          <w:rFonts w:cs="Arial"/>
          <w:i/>
          <w:iCs/>
          <w:sz w:val="22"/>
        </w:rPr>
        <w:t>Protecting consumers and offering choice;</w:t>
      </w:r>
    </w:p>
    <w:p>
      <w:pPr>
        <w:pStyle w:val="Normal"/>
        <w:tabs>
          <w:tab w:val="left" w:pos="540" w:leader="none"/>
          <w:tab w:val="left" w:pos="1080" w:leader="none"/>
        </w:tabs>
        <w:ind w:hanging="720" w:start="1800" w:end="0"/>
        <w:jc w:val="both"/>
        <w:rPr>
          <w:rFonts w:cs="Arial"/>
          <w:i/>
          <w:i/>
          <w:iCs/>
          <w:sz w:val="22"/>
        </w:rPr>
      </w:pPr>
      <w:r>
        <w:rPr>
          <w:rFonts w:cs="Arial"/>
          <w:i/>
          <w:iCs/>
          <w:sz w:val="22"/>
        </w:rPr>
      </w:r>
    </w:p>
    <w:p>
      <w:pPr>
        <w:pStyle w:val="Normal"/>
        <w:numPr>
          <w:ilvl w:val="2"/>
          <w:numId w:val="6"/>
        </w:numPr>
        <w:tabs>
          <w:tab w:val="left" w:pos="540" w:leader="none"/>
          <w:tab w:val="left" w:pos="1080" w:leader="none"/>
        </w:tabs>
        <w:ind w:hanging="720" w:start="2160" w:end="0"/>
        <w:jc w:val="both"/>
        <w:rPr>
          <w:rFonts w:cs="Arial"/>
          <w:i/>
          <w:i/>
          <w:iCs/>
          <w:sz w:val="22"/>
        </w:rPr>
      </w:pPr>
      <w:r>
        <w:rPr>
          <w:rFonts w:cs="Arial"/>
          <w:i/>
          <w:iCs/>
          <w:sz w:val="22"/>
        </w:rPr>
        <w:t>Creating a strong business climate with a reliable supply of electricity;</w:t>
      </w:r>
    </w:p>
    <w:p>
      <w:pPr>
        <w:pStyle w:val="Normal"/>
        <w:tabs>
          <w:tab w:val="left" w:pos="540" w:leader="none"/>
          <w:tab w:val="left" w:pos="1080" w:leader="none"/>
        </w:tabs>
        <w:ind w:hanging="720" w:end="0"/>
        <w:jc w:val="both"/>
        <w:rPr>
          <w:rFonts w:cs="Arial"/>
          <w:i/>
          <w:i/>
          <w:iCs/>
          <w:sz w:val="22"/>
        </w:rPr>
      </w:pPr>
      <w:r>
        <w:rPr>
          <w:rFonts w:cs="Arial"/>
          <w:i/>
          <w:iCs/>
          <w:sz w:val="22"/>
        </w:rPr>
      </w:r>
    </w:p>
    <w:p>
      <w:pPr>
        <w:pStyle w:val="Normal"/>
        <w:numPr>
          <w:ilvl w:val="2"/>
          <w:numId w:val="6"/>
        </w:numPr>
        <w:tabs>
          <w:tab w:val="left" w:pos="540" w:leader="none"/>
          <w:tab w:val="left" w:pos="1080" w:leader="none"/>
        </w:tabs>
        <w:ind w:hanging="720" w:start="2160" w:end="0"/>
        <w:jc w:val="both"/>
        <w:rPr>
          <w:rFonts w:cs="Arial"/>
          <w:i/>
          <w:i/>
          <w:iCs/>
          <w:sz w:val="22"/>
        </w:rPr>
      </w:pPr>
      <w:r>
        <w:rPr>
          <w:rFonts w:cs="Arial"/>
          <w:i/>
          <w:iCs/>
          <w:sz w:val="22"/>
        </w:rPr>
        <w:t>Protecting the environment; and</w:t>
      </w:r>
    </w:p>
    <w:p>
      <w:pPr>
        <w:pStyle w:val="Normal"/>
        <w:tabs>
          <w:tab w:val="left" w:pos="540" w:leader="none"/>
          <w:tab w:val="left" w:pos="1080" w:leader="none"/>
        </w:tabs>
        <w:ind w:hanging="720" w:end="0"/>
        <w:jc w:val="both"/>
        <w:rPr>
          <w:rFonts w:cs="Arial"/>
          <w:i/>
          <w:i/>
          <w:iCs/>
          <w:sz w:val="22"/>
        </w:rPr>
      </w:pPr>
      <w:r>
        <w:rPr>
          <w:rFonts w:cs="Arial"/>
          <w:i/>
          <w:iCs/>
          <w:sz w:val="22"/>
        </w:rPr>
      </w:r>
    </w:p>
    <w:p>
      <w:pPr>
        <w:pStyle w:val="Normal"/>
        <w:numPr>
          <w:ilvl w:val="2"/>
          <w:numId w:val="6"/>
        </w:numPr>
        <w:tabs>
          <w:tab w:val="left" w:pos="540" w:leader="none"/>
          <w:tab w:val="left" w:pos="1080" w:leader="none"/>
        </w:tabs>
        <w:ind w:hanging="720" w:start="2160" w:end="0"/>
        <w:jc w:val="both"/>
        <w:rPr>
          <w:rFonts w:cs="Arial"/>
          <w:i/>
          <w:i/>
          <w:iCs/>
          <w:sz w:val="22"/>
        </w:rPr>
      </w:pPr>
      <w:r>
        <w:rPr>
          <w:rFonts w:cs="Arial"/>
          <w:i/>
          <w:iCs/>
          <w:sz w:val="22"/>
        </w:rPr>
        <w:t>Encouraging new ways of doing business and supporting the search for alternative sources of power.</w:t>
      </w:r>
    </w:p>
    <w:p>
      <w:pPr>
        <w:pStyle w:val="Header"/>
        <w:tabs>
          <w:tab w:val="clear" w:pos="4320"/>
          <w:tab w:val="clear" w:pos="8640"/>
          <w:tab w:val="left" w:pos="1080" w:leader="none"/>
          <w:tab w:val="right" w:pos="9360" w:leader="none"/>
        </w:tabs>
        <w:ind w:hanging="720" w:start="1080" w:end="0"/>
        <w:jc w:val="both"/>
        <w:rPr>
          <w:rFonts w:cs="Arial"/>
          <w:i/>
          <w:i/>
          <w:iCs/>
          <w:sz w:val="22"/>
        </w:rPr>
      </w:pPr>
      <w:r>
        <w:rPr>
          <w:rFonts w:cs="Arial"/>
          <w:i/>
          <w:iCs/>
          <w:sz w:val="22"/>
        </w:rPr>
      </w:r>
    </w:p>
    <w:p>
      <w:pPr>
        <w:pStyle w:val="Header"/>
        <w:numPr>
          <w:ilvl w:val="1"/>
          <w:numId w:val="4"/>
        </w:numPr>
        <w:tabs>
          <w:tab w:val="clear" w:pos="4320"/>
          <w:tab w:val="clear" w:pos="8640"/>
          <w:tab w:val="left" w:pos="1080" w:leader="none"/>
          <w:tab w:val="right" w:pos="9360" w:leader="none"/>
        </w:tabs>
        <w:ind w:hanging="360" w:start="1080" w:end="0"/>
        <w:jc w:val="both"/>
        <w:rPr>
          <w:rFonts w:cs="Arial"/>
          <w:sz w:val="22"/>
        </w:rPr>
      </w:pPr>
      <w:r>
        <w:rPr>
          <w:rFonts w:cs="Arial"/>
          <w:sz w:val="22"/>
        </w:rPr>
        <w:t>Since the Government’s announcement, both the Ontario Energy Board (which oversees the retail market) and the Independent Marketer Operator (which oversees the wholesale market) have reaffirmed their commitment to the timetable in their Electricity Market Readiness Plan.  That Plan continues to target market readiness in the Fall of 2001.</w:t>
      </w:r>
    </w:p>
    <w:p>
      <w:pPr>
        <w:pStyle w:val="Header"/>
        <w:tabs>
          <w:tab w:val="clear" w:pos="4320"/>
          <w:tab w:val="clear" w:pos="8640"/>
          <w:tab w:val="left" w:pos="1080" w:leader="none"/>
          <w:tab w:val="right" w:pos="9360" w:leader="none"/>
        </w:tabs>
        <w:ind w:hanging="720" w:start="1080" w:end="0"/>
        <w:jc w:val="both"/>
        <w:rPr>
          <w:rFonts w:cs="Arial"/>
          <w:sz w:val="22"/>
        </w:rPr>
      </w:pPr>
      <w:r>
        <w:rPr>
          <w:rFonts w:cs="Arial"/>
          <w:sz w:val="22"/>
        </w:rPr>
      </w:r>
    </w:p>
    <w:p>
      <w:pPr>
        <w:pStyle w:val="Header"/>
        <w:numPr>
          <w:ilvl w:val="1"/>
          <w:numId w:val="4"/>
        </w:numPr>
        <w:tabs>
          <w:tab w:val="clear" w:pos="4320"/>
          <w:tab w:val="clear" w:pos="8640"/>
          <w:tab w:val="left" w:pos="1080" w:leader="none"/>
          <w:tab w:val="right" w:pos="9360" w:leader="none"/>
        </w:tabs>
        <w:ind w:hanging="360" w:start="1080" w:end="0"/>
        <w:jc w:val="both"/>
        <w:rPr>
          <w:rFonts w:cs="Arial"/>
          <w:sz w:val="22"/>
        </w:rPr>
      </w:pPr>
      <w:r>
        <w:rPr>
          <w:rFonts w:cs="Arial"/>
          <w:sz w:val="22"/>
        </w:rPr>
        <w:t>At the wholesale level, the IMO has been proceeding with its systems testing.  Although, some issues have arisen during the course of testing, the IMO remains confident that it will meet the timelines in the Market Readiness Plan.</w:t>
      </w:r>
    </w:p>
    <w:p>
      <w:pPr>
        <w:pStyle w:val="Header"/>
        <w:tabs>
          <w:tab w:val="clear" w:pos="4320"/>
          <w:tab w:val="clear" w:pos="8640"/>
          <w:tab w:val="left" w:pos="1080" w:leader="none"/>
          <w:tab w:val="right" w:pos="9360" w:leader="none"/>
        </w:tabs>
        <w:ind w:hanging="360" w:start="1080" w:end="0"/>
        <w:jc w:val="both"/>
        <w:rPr>
          <w:rFonts w:cs="Arial"/>
          <w:sz w:val="22"/>
        </w:rPr>
      </w:pPr>
      <w:r>
        <w:rPr>
          <w:rFonts w:cs="Arial"/>
          <w:sz w:val="22"/>
        </w:rPr>
      </w:r>
    </w:p>
    <w:p>
      <w:pPr>
        <w:pStyle w:val="Header"/>
        <w:numPr>
          <w:ilvl w:val="1"/>
          <w:numId w:val="4"/>
        </w:numPr>
        <w:tabs>
          <w:tab w:val="clear" w:pos="4320"/>
          <w:tab w:val="clear" w:pos="8640"/>
          <w:tab w:val="left" w:pos="1080" w:leader="none"/>
          <w:tab w:val="right" w:pos="9360" w:leader="none"/>
        </w:tabs>
        <w:ind w:hanging="360" w:start="1080" w:end="0"/>
        <w:jc w:val="both"/>
        <w:rPr>
          <w:rFonts w:cs="Arial"/>
          <w:sz w:val="22"/>
        </w:rPr>
      </w:pPr>
      <w:r>
        <w:rPr>
          <w:rFonts w:cs="Arial"/>
          <w:sz w:val="22"/>
        </w:rPr>
        <w:t>At the retail level, there continue to be concerns about whether the distributors (or a sufficient number of distributors) will have the required CIS and billing systems in place by the Fall.  There are also concerns that a delay in the development of the systems for processing electronic business transactions (EBT) between retailers and distributors could jeopardize compliance with the timelines applicable to the retail sector.</w:t>
      </w:r>
    </w:p>
    <w:p>
      <w:pPr>
        <w:pStyle w:val="Header"/>
        <w:tabs>
          <w:tab w:val="clear" w:pos="4320"/>
          <w:tab w:val="clear" w:pos="8640"/>
          <w:tab w:val="left" w:pos="1080" w:leader="none"/>
          <w:tab w:val="right" w:pos="9360" w:leader="none"/>
        </w:tabs>
        <w:ind w:hanging="720" w:start="1080" w:end="0"/>
        <w:jc w:val="both"/>
        <w:rPr>
          <w:rFonts w:cs="Arial"/>
          <w:sz w:val="22"/>
        </w:rPr>
      </w:pPr>
      <w:r>
        <w:rPr>
          <w:rFonts w:cs="Arial"/>
          <w:sz w:val="22"/>
        </w:rPr>
      </w:r>
    </w:p>
    <w:p>
      <w:pPr>
        <w:pStyle w:val="Header"/>
        <w:numPr>
          <w:ilvl w:val="1"/>
          <w:numId w:val="4"/>
        </w:numPr>
        <w:tabs>
          <w:tab w:val="clear" w:pos="4320"/>
          <w:tab w:val="clear" w:pos="8640"/>
          <w:tab w:val="left" w:pos="1080" w:leader="none"/>
          <w:tab w:val="right" w:pos="9360" w:leader="none"/>
        </w:tabs>
        <w:ind w:hanging="360" w:start="1080" w:end="0"/>
        <w:jc w:val="both"/>
        <w:rPr>
          <w:rFonts w:cs="Arial"/>
          <w:sz w:val="22"/>
        </w:rPr>
      </w:pPr>
      <w:r>
        <w:rPr>
          <w:rFonts w:cs="Arial"/>
          <w:sz w:val="22"/>
        </w:rPr>
        <w:t>Stakeholder groups such as the Toronto Board of Trade, the Ontario Chamber of Commerce, the Independent Power Producers’ Society of Ontario, and the Ontario Natural Gas Association have reconfirmed their preference for a November 2001 opening.</w:t>
      </w:r>
    </w:p>
    <w:p>
      <w:pPr>
        <w:pStyle w:val="Header"/>
        <w:tabs>
          <w:tab w:val="clear" w:pos="4320"/>
          <w:tab w:val="clear" w:pos="8640"/>
          <w:tab w:val="left" w:pos="1080" w:leader="none"/>
          <w:tab w:val="right" w:pos="9360" w:leader="none"/>
        </w:tabs>
        <w:ind w:hanging="720" w:end="0"/>
        <w:jc w:val="both"/>
        <w:rPr>
          <w:rFonts w:cs="Arial"/>
          <w:sz w:val="22"/>
        </w:rPr>
      </w:pPr>
      <w:r>
        <w:rPr>
          <w:rFonts w:cs="Arial"/>
          <w:sz w:val="22"/>
        </w:rPr>
      </w:r>
    </w:p>
    <w:p>
      <w:pPr>
        <w:pStyle w:val="Header"/>
        <w:numPr>
          <w:ilvl w:val="1"/>
          <w:numId w:val="4"/>
        </w:numPr>
        <w:tabs>
          <w:tab w:val="clear" w:pos="4320"/>
          <w:tab w:val="clear" w:pos="8640"/>
          <w:tab w:val="clear" w:pos="9360"/>
          <w:tab w:val="left" w:pos="1080" w:leader="none"/>
        </w:tabs>
        <w:ind w:hanging="360" w:start="1080" w:end="0"/>
        <w:jc w:val="both"/>
        <w:rPr>
          <w:rFonts w:cs="Arial"/>
          <w:sz w:val="22"/>
        </w:rPr>
      </w:pPr>
      <w:r>
        <w:rPr>
          <w:rFonts w:cs="Arial"/>
          <w:sz w:val="22"/>
        </w:rPr>
        <w:t>The Ministry of the Environment has outlined new regulations that will:  i) impose more stringent emission caps on the electricity sector; ii) require the Lakeview generating station (a</w:t>
        <w:tab/>
        <w:t>1140 MW coal burning facility on the shore of Lake Ontario west of Toronto) to be converted to natural gas by April 30, 2005; and iii) introduce an emission reduction trading program.  Upon the completion of the mandatory publication and consultation requirements in respect of these initiatives (to be completed by August 2001), the Government will be in a position to lift the moratorium that the Government had imposed in 2000 on the sale of coal-fired generation plants.</w:t>
      </w:r>
    </w:p>
    <w:p>
      <w:pPr>
        <w:pStyle w:val="Header"/>
        <w:tabs>
          <w:tab w:val="clear" w:pos="4320"/>
          <w:tab w:val="clear" w:pos="8640"/>
          <w:tab w:val="left" w:pos="1080" w:leader="none"/>
          <w:tab w:val="right" w:pos="9360" w:leader="none"/>
        </w:tabs>
        <w:ind w:hanging="720" w:end="0"/>
        <w:jc w:val="both"/>
        <w:rPr>
          <w:rFonts w:cs="Arial"/>
          <w:sz w:val="22"/>
        </w:rPr>
      </w:pPr>
      <w:r>
        <w:rPr>
          <w:rFonts w:cs="Arial"/>
          <w:sz w:val="22"/>
        </w:rPr>
      </w:r>
    </w:p>
    <w:p>
      <w:pPr>
        <w:pStyle w:val="Header"/>
        <w:numPr>
          <w:ilvl w:val="1"/>
          <w:numId w:val="4"/>
        </w:numPr>
        <w:tabs>
          <w:tab w:val="clear" w:pos="4320"/>
          <w:tab w:val="clear" w:pos="8640"/>
          <w:tab w:val="left" w:pos="1080" w:leader="none"/>
          <w:tab w:val="right" w:pos="9360" w:leader="none"/>
        </w:tabs>
        <w:ind w:hanging="360" w:start="1080" w:end="0"/>
        <w:jc w:val="both"/>
        <w:rPr>
          <w:rFonts w:cs="Arial"/>
          <w:sz w:val="22"/>
        </w:rPr>
      </w:pPr>
      <w:r>
        <w:rPr>
          <w:rFonts w:cs="Arial"/>
          <w:sz w:val="22"/>
        </w:rPr>
        <w:t>In mid-May, 2001, OPG and Bruce Power (of which British Energy is the majority shareholder) announced the closure of the transaction pursuant to which Bruce Power has leased and assumed operational control of the Bruce nuclear facility from OPG.  The in-service Bruce B units have a capacity of approximately 3,140 MW.  Bruce Power has also announced a program to restart two of the Bruce A reactors (totaling 1,500 MW) by 2003.  The lease of the Bruce facility to Bruce Energy reduces OPG’s share of Ontario’s capacity from about 90 percent to about 78 percent.  However, it is uncertain that the transaction will qualify as “decontrol” under the Market Power Mitigation Agreement in order to reduce the rebate otherwise payable by OPG.  This uncertainty arises because provincial and federal regulators have raised concerns that the consideration payable by Bruce Energy to OPG under the lease is tied to the IMO spot price (which is largely within the control of OPG given its continuing market power).</w:t>
      </w:r>
    </w:p>
    <w:p>
      <w:pPr>
        <w:pStyle w:val="Header"/>
        <w:tabs>
          <w:tab w:val="clear" w:pos="4320"/>
          <w:tab w:val="clear" w:pos="8640"/>
          <w:tab w:val="left" w:pos="1080" w:leader="none"/>
          <w:tab w:val="right" w:pos="9360" w:leader="none"/>
        </w:tabs>
        <w:ind w:hanging="720" w:end="0"/>
        <w:jc w:val="both"/>
        <w:rPr>
          <w:rFonts w:cs="Arial"/>
          <w:sz w:val="22"/>
        </w:rPr>
      </w:pPr>
      <w:r>
        <w:rPr>
          <w:rFonts w:cs="Arial"/>
          <w:sz w:val="22"/>
        </w:rPr>
      </w:r>
    </w:p>
    <w:p>
      <w:pPr>
        <w:pStyle w:val="Header"/>
        <w:numPr>
          <w:ilvl w:val="1"/>
          <w:numId w:val="4"/>
        </w:numPr>
        <w:tabs>
          <w:tab w:val="clear" w:pos="4320"/>
          <w:tab w:val="clear" w:pos="8640"/>
          <w:tab w:val="left" w:pos="1080" w:leader="none"/>
          <w:tab w:val="right" w:pos="9360" w:leader="none"/>
        </w:tabs>
        <w:ind w:hanging="360" w:start="1080" w:end="0"/>
        <w:jc w:val="both"/>
        <w:rPr>
          <w:rFonts w:cs="Arial"/>
          <w:sz w:val="22"/>
        </w:rPr>
      </w:pPr>
      <w:r>
        <w:rPr>
          <w:rFonts w:cs="Arial"/>
          <w:sz w:val="22"/>
        </w:rPr>
        <w:t>In mid-May, 2001, OPG announced its intention to proceed with the divestiture of the following units:  Lakeview ( 1140 MW, coal), Lennox (2140 MW, oil/natural gas), Atikokan (215 MW, coal), Thunder Bay (310 MW, coal), and the hydro stations on the Mississagi River (total 490 MW).</w:t>
      </w:r>
    </w:p>
    <w:p>
      <w:pPr>
        <w:pStyle w:val="Header"/>
        <w:tabs>
          <w:tab w:val="clear" w:pos="4320"/>
          <w:tab w:val="clear" w:pos="8640"/>
          <w:tab w:val="left" w:pos="1080" w:leader="none"/>
          <w:tab w:val="right" w:pos="9360" w:leader="none"/>
        </w:tabs>
        <w:ind w:hanging="720" w:end="0"/>
        <w:jc w:val="both"/>
        <w:rPr>
          <w:rFonts w:cs="Arial"/>
          <w:sz w:val="22"/>
        </w:rPr>
      </w:pPr>
      <w:r>
        <w:rPr>
          <w:rFonts w:cs="Arial"/>
          <w:sz w:val="22"/>
        </w:rPr>
      </w:r>
    </w:p>
    <w:p>
      <w:pPr>
        <w:pStyle w:val="Header"/>
        <w:numPr>
          <w:ilvl w:val="1"/>
          <w:numId w:val="4"/>
        </w:numPr>
        <w:tabs>
          <w:tab w:val="clear" w:pos="4320"/>
          <w:tab w:val="clear" w:pos="8640"/>
          <w:tab w:val="left" w:pos="1080" w:leader="none"/>
          <w:tab w:val="right" w:pos="9360" w:leader="none"/>
        </w:tabs>
        <w:ind w:hanging="360" w:start="1080" w:end="0"/>
        <w:jc w:val="both"/>
        <w:rPr>
          <w:rFonts w:cs="Arial"/>
          <w:sz w:val="22"/>
        </w:rPr>
      </w:pPr>
      <w:r>
        <w:rPr>
          <w:rFonts w:cs="Arial"/>
          <w:sz w:val="22"/>
        </w:rPr>
        <w:t>On May 31, OPG announced that it had directed its financial advisors (Merrill Lynch and Scotia Capital) to invite expressions of interest from parties that may be interested in operating or acquiring Lakeview and Lennox.  The initial correspondence from the financial advisers indicates that December 2001 is the target date for completing such transactions.  Further information regarding Atikokan, Thunder Bay and the Mississagi units is expected later in the Summer of 2001.</w:t>
      </w:r>
      <w:r>
        <w:br w:type="page"/>
      </w:r>
    </w:p>
    <w:p>
      <w:pPr>
        <w:pStyle w:val="Header"/>
        <w:tabs>
          <w:tab w:val="clear" w:pos="4320"/>
          <w:tab w:val="clear" w:pos="8640"/>
          <w:tab w:val="left" w:pos="1080" w:leader="none"/>
          <w:tab w:val="right" w:pos="9360" w:leader="none"/>
        </w:tabs>
        <w:ind w:hanging="720" w:end="0"/>
        <w:jc w:val="both"/>
        <w:rPr>
          <w:rFonts w:cs="Arial"/>
          <w:sz w:val="22"/>
        </w:rPr>
      </w:pPr>
      <w:r>
        <w:rPr>
          <w:rFonts w:cs="Arial"/>
          <w:sz w:val="22"/>
        </w:rPr>
      </w:r>
    </w:p>
    <w:p>
      <w:pPr>
        <w:pStyle w:val="Header"/>
        <w:numPr>
          <w:ilvl w:val="1"/>
          <w:numId w:val="4"/>
        </w:numPr>
        <w:tabs>
          <w:tab w:val="clear" w:pos="4320"/>
          <w:tab w:val="clear" w:pos="8640"/>
          <w:tab w:val="left" w:pos="1080" w:leader="none"/>
          <w:tab w:val="right" w:pos="9360" w:leader="none"/>
        </w:tabs>
        <w:ind w:hanging="360" w:start="1080" w:end="0"/>
        <w:jc w:val="both"/>
        <w:rPr>
          <w:rFonts w:cs="Arial"/>
          <w:sz w:val="22"/>
        </w:rPr>
      </w:pPr>
      <w:r>
        <w:rPr>
          <w:rFonts w:cs="Arial"/>
          <w:sz w:val="22"/>
        </w:rPr>
        <w:t>As of June 1, 2001, the price at which OPG sells wholesale power to the LDCs and direct industrial customers was increased by 0.7 cents to about 4.8 cents.  That represents an increase of about 18 percent in the wholesale power rate.  That increase is being passed through directly to end-use customers and will represent an increase of about 8 percent in an average household bill.</w:t>
      </w:r>
    </w:p>
    <w:p>
      <w:pPr>
        <w:pStyle w:val="Header"/>
        <w:tabs>
          <w:tab w:val="clear" w:pos="4320"/>
          <w:tab w:val="clear" w:pos="8640"/>
          <w:tab w:val="left" w:pos="1080" w:leader="none"/>
          <w:tab w:val="right" w:pos="9360" w:leader="none"/>
        </w:tabs>
        <w:ind w:hanging="720" w:end="0"/>
        <w:jc w:val="both"/>
        <w:rPr>
          <w:rFonts w:cs="Arial"/>
          <w:sz w:val="22"/>
        </w:rPr>
      </w:pPr>
      <w:r>
        <w:rPr>
          <w:rFonts w:cs="Arial"/>
          <w:sz w:val="22"/>
        </w:rPr>
      </w:r>
    </w:p>
    <w:p>
      <w:pPr>
        <w:pStyle w:val="Header"/>
        <w:numPr>
          <w:ilvl w:val="2"/>
          <w:numId w:val="4"/>
        </w:numPr>
        <w:tabs>
          <w:tab w:val="clear" w:pos="4320"/>
          <w:tab w:val="clear" w:pos="8640"/>
          <w:tab w:val="left" w:pos="1080" w:leader="none"/>
          <w:tab w:val="right" w:pos="9360" w:leader="none"/>
        </w:tabs>
        <w:ind w:hanging="720" w:start="2160" w:end="0"/>
        <w:jc w:val="both"/>
        <w:rPr>
          <w:rFonts w:cs="Arial"/>
          <w:sz w:val="22"/>
        </w:rPr>
      </w:pPr>
      <w:r>
        <w:rPr>
          <w:rFonts w:cs="Arial"/>
          <w:sz w:val="22"/>
        </w:rPr>
        <w:t>British Columbia Hydro, owned by the B.C. Government, earned in excess of CDN$1 billion through sales to the United States.</w:t>
      </w:r>
    </w:p>
    <w:p>
      <w:pPr>
        <w:pStyle w:val="Header"/>
        <w:tabs>
          <w:tab w:val="clear" w:pos="4320"/>
          <w:tab w:val="clear" w:pos="8640"/>
          <w:tab w:val="left" w:pos="1080" w:leader="none"/>
          <w:tab w:val="right" w:pos="9360" w:leader="none"/>
        </w:tabs>
        <w:ind w:hanging="720" w:start="1800" w:end="0"/>
        <w:jc w:val="both"/>
        <w:rPr>
          <w:rFonts w:cs="Arial"/>
          <w:sz w:val="22"/>
        </w:rPr>
      </w:pPr>
      <w:r>
        <w:rPr>
          <w:rFonts w:cs="Arial"/>
          <w:sz w:val="22"/>
        </w:rPr>
      </w:r>
    </w:p>
    <w:p>
      <w:pPr>
        <w:pStyle w:val="Header"/>
        <w:numPr>
          <w:ilvl w:val="2"/>
          <w:numId w:val="4"/>
        </w:numPr>
        <w:tabs>
          <w:tab w:val="clear" w:pos="4320"/>
          <w:tab w:val="clear" w:pos="8640"/>
          <w:tab w:val="left" w:pos="1080" w:leader="none"/>
          <w:tab w:val="right" w:pos="9360" w:leader="none"/>
        </w:tabs>
        <w:ind w:hanging="720" w:start="2160" w:end="0"/>
        <w:jc w:val="both"/>
        <w:rPr>
          <w:rFonts w:cs="Arial"/>
          <w:sz w:val="22"/>
        </w:rPr>
      </w:pPr>
      <w:r>
        <w:rPr>
          <w:rFonts w:cs="Arial"/>
          <w:sz w:val="22"/>
        </w:rPr>
        <w:t>Ontario Power Generation, owned by the Ontario Government, earned almost CDN$280 million through sales to the connected United States markets.</w:t>
      </w:r>
    </w:p>
    <w:p>
      <w:pPr>
        <w:pStyle w:val="Header"/>
        <w:tabs>
          <w:tab w:val="clear" w:pos="4320"/>
          <w:tab w:val="clear" w:pos="8640"/>
          <w:tab w:val="right" w:pos="9360" w:leader="none"/>
        </w:tabs>
        <w:rPr>
          <w:rFonts w:cs="Arial"/>
          <w:sz w:val="22"/>
        </w:rPr>
      </w:pPr>
      <w:r>
        <w:rPr>
          <w:rFonts w:cs="Arial"/>
          <w:sz w:val="22"/>
        </w:rPr>
      </w:r>
    </w:p>
    <w:p>
      <w:pPr>
        <w:pStyle w:val="Header"/>
        <w:tabs>
          <w:tab w:val="clear" w:pos="4320"/>
          <w:tab w:val="clear" w:pos="8640"/>
          <w:tab w:val="right" w:pos="9360" w:leader="none"/>
        </w:tabs>
        <w:rPr/>
      </w:pPr>
      <w:r>
        <w:rPr/>
      </w:r>
    </w:p>
    <w:p>
      <w:pPr>
        <w:pStyle w:val="Header"/>
        <w:tabs>
          <w:tab w:val="clear" w:pos="4320"/>
          <w:tab w:val="clear" w:pos="8640"/>
          <w:tab w:val="clear" w:pos="9360"/>
        </w:tabs>
        <w:jc w:val="both"/>
        <w:rPr/>
      </w:pPr>
      <w:r>
        <w:rPr>
          <w:rFonts w:cs="Arial"/>
          <w:b/>
          <w:bCs/>
          <w:sz w:val="22"/>
        </w:rPr>
        <w:t>II.</w:t>
        <w:tab/>
      </w:r>
      <w:r>
        <w:rPr>
          <w:rFonts w:cs="Arial"/>
          <w:b/>
          <w:bCs/>
          <w:sz w:val="22"/>
          <w:u w:val="single"/>
        </w:rPr>
        <w:t>Status of Enron’s Commercial Initiatives in Ontario</w:t>
      </w:r>
    </w:p>
    <w:p>
      <w:pPr>
        <w:pStyle w:val="Header"/>
        <w:tabs>
          <w:tab w:val="clear" w:pos="4320"/>
          <w:tab w:val="clear" w:pos="8640"/>
          <w:tab w:val="clear" w:pos="9360"/>
        </w:tabs>
        <w:jc w:val="both"/>
        <w:rPr>
          <w:rFonts w:cs="Arial"/>
          <w:b/>
          <w:bCs/>
          <w:sz w:val="22"/>
          <w:u w:val="single"/>
        </w:rPr>
      </w:pPr>
      <w:r>
        <w:rPr>
          <w:rFonts w:cs="Arial"/>
          <w:b/>
          <w:bCs/>
          <w:sz w:val="22"/>
          <w:u w:val="single"/>
        </w:rPr>
      </w:r>
    </w:p>
    <w:p>
      <w:pPr>
        <w:pStyle w:val="Header"/>
        <w:numPr>
          <w:ilvl w:val="0"/>
          <w:numId w:val="2"/>
        </w:numPr>
        <w:tabs>
          <w:tab w:val="clear" w:pos="4320"/>
          <w:tab w:val="clear" w:pos="8640"/>
          <w:tab w:val="clear" w:pos="9360"/>
          <w:tab w:val="left" w:pos="720" w:leader="none"/>
        </w:tabs>
        <w:ind w:hanging="360" w:start="720" w:end="0"/>
        <w:jc w:val="both"/>
        <w:rPr>
          <w:rFonts w:cs="Arial"/>
          <w:sz w:val="22"/>
        </w:rPr>
      </w:pPr>
      <w:r>
        <w:rPr>
          <w:rFonts w:cs="Arial"/>
          <w:sz w:val="22"/>
        </w:rPr>
        <w:t>Enron Canada has recently extended its service contracts with ENERconnect to an outside start date of December 31, 2002.</w:t>
      </w:r>
    </w:p>
    <w:p>
      <w:pPr>
        <w:pStyle w:val="Header"/>
        <w:tabs>
          <w:tab w:val="clear" w:pos="4320"/>
          <w:tab w:val="clear" w:pos="8640"/>
          <w:tab w:val="clear" w:pos="9360"/>
        </w:tabs>
        <w:ind w:start="360" w:end="0"/>
        <w:jc w:val="both"/>
        <w:rPr>
          <w:rFonts w:cs="Arial"/>
          <w:sz w:val="22"/>
        </w:rPr>
      </w:pPr>
      <w:r>
        <w:rPr>
          <w:rFonts w:cs="Arial"/>
          <w:sz w:val="22"/>
        </w:rPr>
      </w:r>
    </w:p>
    <w:p>
      <w:pPr>
        <w:pStyle w:val="Header"/>
        <w:numPr>
          <w:ilvl w:val="0"/>
          <w:numId w:val="2"/>
        </w:numPr>
        <w:tabs>
          <w:tab w:val="clear" w:pos="4320"/>
          <w:tab w:val="clear" w:pos="8640"/>
          <w:tab w:val="clear" w:pos="9360"/>
          <w:tab w:val="left" w:pos="720" w:leader="none"/>
        </w:tabs>
        <w:ind w:hanging="360" w:start="720" w:end="0"/>
        <w:jc w:val="both"/>
        <w:rPr>
          <w:rFonts w:cs="Arial"/>
          <w:sz w:val="22"/>
        </w:rPr>
      </w:pPr>
      <w:r>
        <w:rPr>
          <w:rFonts w:cs="Arial"/>
          <w:sz w:val="22"/>
        </w:rPr>
        <w:t>Enron Canada has also recently renegotiated its 500MW 3-year PPA with British Energy.  The new “drop dead” date in the contract is December 31, 2002.</w:t>
      </w:r>
    </w:p>
    <w:p>
      <w:pPr>
        <w:pStyle w:val="Header"/>
        <w:tabs>
          <w:tab w:val="clear" w:pos="4320"/>
          <w:tab w:val="clear" w:pos="8640"/>
          <w:tab w:val="clear" w:pos="9360"/>
        </w:tabs>
        <w:jc w:val="both"/>
        <w:rPr>
          <w:rFonts w:cs="Arial"/>
          <w:sz w:val="22"/>
        </w:rPr>
      </w:pPr>
      <w:r>
        <w:rPr>
          <w:rFonts w:cs="Arial"/>
          <w:sz w:val="22"/>
        </w:rPr>
      </w:r>
    </w:p>
    <w:p>
      <w:pPr>
        <w:pStyle w:val="Header"/>
        <w:numPr>
          <w:ilvl w:val="0"/>
          <w:numId w:val="2"/>
        </w:numPr>
        <w:tabs>
          <w:tab w:val="clear" w:pos="4320"/>
          <w:tab w:val="clear" w:pos="8640"/>
          <w:tab w:val="clear" w:pos="9360"/>
          <w:tab w:val="left" w:pos="720" w:leader="none"/>
        </w:tabs>
        <w:ind w:hanging="360" w:start="720" w:end="0"/>
        <w:jc w:val="both"/>
        <w:rPr>
          <w:rFonts w:cs="Arial"/>
          <w:sz w:val="22"/>
        </w:rPr>
      </w:pPr>
      <w:r>
        <w:rPr>
          <w:rFonts w:cs="Arial"/>
          <w:sz w:val="22"/>
        </w:rPr>
        <w:t>Enron Direct has initiated a retail commodity play in Ontario for getting commercial / light industrial customers.</w:t>
      </w:r>
    </w:p>
    <w:p>
      <w:pPr>
        <w:pStyle w:val="Header"/>
        <w:tabs>
          <w:tab w:val="clear" w:pos="4320"/>
          <w:tab w:val="clear" w:pos="8640"/>
          <w:tab w:val="clear" w:pos="9360"/>
        </w:tabs>
        <w:jc w:val="both"/>
        <w:rPr>
          <w:rFonts w:cs="Arial"/>
          <w:sz w:val="22"/>
        </w:rPr>
      </w:pPr>
      <w:r>
        <w:rPr>
          <w:rFonts w:cs="Arial"/>
          <w:sz w:val="22"/>
        </w:rPr>
      </w:r>
    </w:p>
    <w:p>
      <w:pPr>
        <w:pStyle w:val="Header"/>
        <w:tabs>
          <w:tab w:val="clear" w:pos="4320"/>
          <w:tab w:val="clear" w:pos="8640"/>
          <w:tab w:val="clear" w:pos="9360"/>
        </w:tabs>
        <w:jc w:val="both"/>
        <w:rPr>
          <w:rFonts w:cs="Arial"/>
          <w:b/>
          <w:bCs/>
          <w:sz w:val="22"/>
        </w:rPr>
      </w:pPr>
      <w:r>
        <w:rPr>
          <w:rFonts w:cs="Arial"/>
          <w:b/>
          <w:bCs/>
          <w:sz w:val="22"/>
        </w:rPr>
      </w:r>
    </w:p>
    <w:p>
      <w:pPr>
        <w:pStyle w:val="Header"/>
        <w:tabs>
          <w:tab w:val="clear" w:pos="4320"/>
          <w:tab w:val="clear" w:pos="8640"/>
          <w:tab w:val="clear" w:pos="9360"/>
        </w:tabs>
        <w:jc w:val="both"/>
        <w:rPr/>
      </w:pPr>
      <w:r>
        <w:rPr>
          <w:rFonts w:cs="Arial"/>
          <w:b/>
          <w:bCs/>
          <w:sz w:val="22"/>
        </w:rPr>
        <w:t>III.</w:t>
        <w:tab/>
      </w:r>
      <w:r>
        <w:rPr>
          <w:rFonts w:cs="Arial"/>
          <w:b/>
          <w:bCs/>
          <w:sz w:val="22"/>
          <w:u w:val="single"/>
        </w:rPr>
        <w:t>Current Enron Market Opening Position</w:t>
      </w:r>
    </w:p>
    <w:p>
      <w:pPr>
        <w:pStyle w:val="Header"/>
        <w:tabs>
          <w:tab w:val="clear" w:pos="4320"/>
          <w:tab w:val="clear" w:pos="8640"/>
          <w:tab w:val="right" w:pos="9360" w:leader="none"/>
        </w:tabs>
        <w:jc w:val="both"/>
        <w:rPr>
          <w:rFonts w:cs="Arial"/>
          <w:b/>
          <w:bCs/>
          <w:sz w:val="22"/>
          <w:u w:val="single"/>
        </w:rPr>
      </w:pPr>
      <w:r>
        <w:rPr>
          <w:rFonts w:cs="Arial"/>
          <w:b/>
          <w:bCs/>
          <w:sz w:val="22"/>
          <w:u w:val="single"/>
        </w:rPr>
      </w:r>
    </w:p>
    <w:p>
      <w:pPr>
        <w:pStyle w:val="Header"/>
        <w:numPr>
          <w:ilvl w:val="0"/>
          <w:numId w:val="17"/>
        </w:numPr>
        <w:tabs>
          <w:tab w:val="clear" w:pos="4320"/>
          <w:tab w:val="clear" w:pos="8640"/>
          <w:tab w:val="right" w:pos="9360" w:leader="none"/>
        </w:tabs>
        <w:jc w:val="both"/>
        <w:rPr>
          <w:rFonts w:cs="Arial"/>
          <w:sz w:val="22"/>
        </w:rPr>
      </w:pPr>
      <w:r>
        <w:rPr>
          <w:rFonts w:cs="Arial"/>
          <w:sz w:val="22"/>
        </w:rPr>
        <w:t>Ken Lay’s Board of Trade speech on April 4</w:t>
      </w:r>
      <w:r>
        <w:rPr>
          <w:rFonts w:cs="Arial"/>
          <w:sz w:val="22"/>
          <w:vertAlign w:val="superscript"/>
        </w:rPr>
        <w:t>th</w:t>
      </w:r>
      <w:r>
        <w:rPr>
          <w:rFonts w:cs="Arial"/>
          <w:sz w:val="22"/>
        </w:rPr>
        <w:t xml:space="preserve"> highlighted the basic policy reasons for proceeding with deregulation:</w:t>
      </w:r>
    </w:p>
    <w:p>
      <w:pPr>
        <w:pStyle w:val="Header"/>
        <w:tabs>
          <w:tab w:val="clear" w:pos="4320"/>
          <w:tab w:val="clear" w:pos="8640"/>
          <w:tab w:val="right" w:pos="9360" w:leader="none"/>
        </w:tabs>
        <w:ind w:start="360" w:end="0"/>
        <w:jc w:val="both"/>
        <w:rPr>
          <w:rFonts w:cs="Arial"/>
          <w:sz w:val="22"/>
        </w:rPr>
      </w:pPr>
      <w:r>
        <w:rPr>
          <w:rFonts w:cs="Arial"/>
          <w:sz w:val="22"/>
        </w:rPr>
      </w:r>
    </w:p>
    <w:p>
      <w:pPr>
        <w:pStyle w:val="Header"/>
        <w:numPr>
          <w:ilvl w:val="1"/>
          <w:numId w:val="17"/>
        </w:numPr>
        <w:tabs>
          <w:tab w:val="clear" w:pos="4320"/>
          <w:tab w:val="clear" w:pos="8640"/>
          <w:tab w:val="left" w:pos="1080" w:leader="none"/>
          <w:tab w:val="right" w:pos="9360" w:leader="none"/>
        </w:tabs>
        <w:ind w:hanging="360" w:start="1080" w:end="0"/>
        <w:jc w:val="both"/>
        <w:rPr>
          <w:rFonts w:cs="Arial"/>
          <w:i/>
          <w:i/>
          <w:iCs/>
          <w:sz w:val="22"/>
        </w:rPr>
      </w:pPr>
      <w:r>
        <w:rPr>
          <w:rFonts w:cs="Arial"/>
          <w:i/>
          <w:iCs/>
          <w:sz w:val="22"/>
        </w:rPr>
        <w:t>End reliance on the certainty mandated solutions that have left electricity customers with the costly legacy of poor management, bad planning and cost over runs.</w:t>
      </w:r>
    </w:p>
    <w:p>
      <w:pPr>
        <w:pStyle w:val="Header"/>
        <w:tabs>
          <w:tab w:val="clear" w:pos="4320"/>
          <w:tab w:val="clear" w:pos="8640"/>
          <w:tab w:val="left" w:pos="1080" w:leader="none"/>
          <w:tab w:val="right" w:pos="9360" w:leader="none"/>
        </w:tabs>
        <w:ind w:hanging="360" w:start="1080" w:end="0"/>
        <w:jc w:val="both"/>
        <w:rPr>
          <w:rFonts w:cs="Arial"/>
          <w:i/>
          <w:i/>
          <w:iCs/>
          <w:sz w:val="22"/>
        </w:rPr>
      </w:pPr>
      <w:r>
        <w:rPr>
          <w:rFonts w:cs="Arial"/>
          <w:i/>
          <w:iCs/>
          <w:sz w:val="22"/>
        </w:rPr>
      </w:r>
    </w:p>
    <w:p>
      <w:pPr>
        <w:pStyle w:val="Header"/>
        <w:numPr>
          <w:ilvl w:val="1"/>
          <w:numId w:val="17"/>
        </w:numPr>
        <w:tabs>
          <w:tab w:val="clear" w:pos="4320"/>
          <w:tab w:val="clear" w:pos="8640"/>
          <w:tab w:val="left" w:pos="1080" w:leader="none"/>
          <w:tab w:val="right" w:pos="9360" w:leader="none"/>
        </w:tabs>
        <w:ind w:hanging="360" w:start="1080" w:end="0"/>
        <w:jc w:val="both"/>
        <w:rPr>
          <w:rFonts w:cs="Arial"/>
          <w:i/>
          <w:i/>
          <w:iCs/>
          <w:sz w:val="22"/>
        </w:rPr>
      </w:pPr>
      <w:r>
        <w:rPr>
          <w:rFonts w:cs="Arial"/>
          <w:i/>
          <w:iCs/>
          <w:sz w:val="22"/>
        </w:rPr>
        <w:t>Shift the risk of new investment to investors and shareholders and away from captive ratepayers and taxpayers.</w:t>
      </w:r>
    </w:p>
    <w:p>
      <w:pPr>
        <w:pStyle w:val="Header"/>
        <w:tabs>
          <w:tab w:val="clear" w:pos="4320"/>
          <w:tab w:val="clear" w:pos="8640"/>
          <w:tab w:val="left" w:pos="1080" w:leader="none"/>
          <w:tab w:val="right" w:pos="9360" w:leader="none"/>
        </w:tabs>
        <w:ind w:hanging="360" w:start="1080" w:end="0"/>
        <w:jc w:val="both"/>
        <w:rPr>
          <w:rFonts w:cs="Arial"/>
          <w:i/>
          <w:i/>
          <w:iCs/>
          <w:sz w:val="22"/>
        </w:rPr>
      </w:pPr>
      <w:r>
        <w:rPr>
          <w:rFonts w:cs="Arial"/>
          <w:i/>
          <w:iCs/>
          <w:sz w:val="22"/>
        </w:rPr>
      </w:r>
    </w:p>
    <w:p>
      <w:pPr>
        <w:pStyle w:val="Header"/>
        <w:numPr>
          <w:ilvl w:val="1"/>
          <w:numId w:val="17"/>
        </w:numPr>
        <w:tabs>
          <w:tab w:val="clear" w:pos="4320"/>
          <w:tab w:val="clear" w:pos="8640"/>
          <w:tab w:val="left" w:pos="1080" w:leader="none"/>
          <w:tab w:val="right" w:pos="9360" w:leader="none"/>
        </w:tabs>
        <w:ind w:hanging="360" w:start="1080" w:end="0"/>
        <w:jc w:val="both"/>
        <w:rPr>
          <w:rFonts w:cs="Arial"/>
          <w:i/>
          <w:i/>
          <w:iCs/>
          <w:sz w:val="22"/>
        </w:rPr>
      </w:pPr>
      <w:r>
        <w:rPr>
          <w:rFonts w:cs="Arial"/>
          <w:i/>
          <w:iCs/>
          <w:sz w:val="22"/>
        </w:rPr>
        <w:t>Provide choice – and thereby provide incentives for better prices and better service.</w:t>
      </w:r>
    </w:p>
    <w:p>
      <w:pPr>
        <w:pStyle w:val="Header"/>
        <w:tabs>
          <w:tab w:val="clear" w:pos="4320"/>
          <w:tab w:val="clear" w:pos="8640"/>
          <w:tab w:val="left" w:pos="1080" w:leader="none"/>
          <w:tab w:val="right" w:pos="9360" w:leader="none"/>
        </w:tabs>
        <w:ind w:hanging="360" w:start="1080" w:end="0"/>
        <w:jc w:val="both"/>
        <w:rPr>
          <w:rFonts w:cs="Arial"/>
          <w:i/>
          <w:i/>
          <w:iCs/>
          <w:sz w:val="22"/>
        </w:rPr>
      </w:pPr>
      <w:r>
        <w:rPr>
          <w:rFonts w:cs="Arial"/>
          <w:i/>
          <w:iCs/>
          <w:sz w:val="22"/>
        </w:rPr>
      </w:r>
    </w:p>
    <w:p>
      <w:pPr>
        <w:pStyle w:val="Header"/>
        <w:numPr>
          <w:ilvl w:val="1"/>
          <w:numId w:val="17"/>
        </w:numPr>
        <w:tabs>
          <w:tab w:val="clear" w:pos="4320"/>
          <w:tab w:val="clear" w:pos="8640"/>
          <w:tab w:val="left" w:pos="1080" w:leader="none"/>
          <w:tab w:val="right" w:pos="9360" w:leader="none"/>
        </w:tabs>
        <w:ind w:hanging="360" w:start="1080" w:end="0"/>
        <w:jc w:val="both"/>
        <w:rPr>
          <w:rFonts w:cs="Arial"/>
          <w:sz w:val="22"/>
        </w:rPr>
      </w:pPr>
      <w:r>
        <w:rPr>
          <w:rFonts w:cs="Arial"/>
          <w:i/>
          <w:iCs/>
          <w:sz w:val="22"/>
        </w:rPr>
        <w:t>Enhance reliability – by fostering investment and securing access to the  neighbouring markets.</w:t>
      </w:r>
    </w:p>
    <w:p>
      <w:pPr>
        <w:pStyle w:val="Header"/>
        <w:tabs>
          <w:tab w:val="clear" w:pos="4320"/>
          <w:tab w:val="clear" w:pos="8640"/>
          <w:tab w:val="right" w:pos="9360" w:leader="none"/>
        </w:tabs>
        <w:ind w:start="360" w:end="0"/>
        <w:jc w:val="both"/>
        <w:rPr>
          <w:rFonts w:cs="Arial"/>
          <w:sz w:val="22"/>
        </w:rPr>
      </w:pPr>
      <w:r>
        <w:rPr>
          <w:rFonts w:cs="Arial"/>
          <w:sz w:val="22"/>
        </w:rPr>
      </w:r>
    </w:p>
    <w:p>
      <w:pPr>
        <w:pStyle w:val="Header"/>
        <w:numPr>
          <w:ilvl w:val="0"/>
          <w:numId w:val="4"/>
        </w:numPr>
        <w:tabs>
          <w:tab w:val="clear" w:pos="4320"/>
          <w:tab w:val="clear" w:pos="8640"/>
          <w:tab w:val="right" w:pos="9360" w:leader="none"/>
        </w:tabs>
        <w:jc w:val="both"/>
        <w:rPr>
          <w:rFonts w:cs="Arial"/>
          <w:sz w:val="22"/>
        </w:rPr>
      </w:pPr>
      <w:r>
        <w:rPr>
          <w:rFonts w:cs="Arial"/>
          <w:sz w:val="22"/>
        </w:rPr>
        <w:t>At this stage, we can assume the Government thoroughly understands the policy rationale for deregulation.  The Premier and Minister of Energy have incorporated the arguments from Ken Lay’s speech into their own remarks.  In particular, they have embraced the argument regarding the shifting of risk from ratepayers to investors.</w:t>
      </w:r>
      <w:r>
        <w:br w:type="page"/>
      </w:r>
    </w:p>
    <w:p>
      <w:pPr>
        <w:pStyle w:val="Header"/>
        <w:tabs>
          <w:tab w:val="clear" w:pos="4320"/>
          <w:tab w:val="clear" w:pos="8640"/>
          <w:tab w:val="right" w:pos="9360" w:leader="none"/>
        </w:tabs>
        <w:ind w:start="360" w:end="0"/>
        <w:jc w:val="both"/>
        <w:rPr>
          <w:rFonts w:cs="Arial"/>
          <w:sz w:val="22"/>
        </w:rPr>
      </w:pPr>
      <w:r>
        <w:rPr>
          <w:rFonts w:cs="Arial"/>
          <w:sz w:val="22"/>
        </w:rPr>
      </w:r>
    </w:p>
    <w:p>
      <w:pPr>
        <w:pStyle w:val="Header"/>
        <w:tabs>
          <w:tab w:val="clear" w:pos="4320"/>
          <w:tab w:val="clear" w:pos="8640"/>
          <w:tab w:val="right" w:pos="9360" w:leader="none"/>
        </w:tabs>
        <w:ind w:start="360" w:end="0"/>
        <w:jc w:val="both"/>
        <w:rPr>
          <w:rFonts w:cs="Arial"/>
          <w:sz w:val="22"/>
        </w:rPr>
      </w:pPr>
      <w:r>
        <w:rPr>
          <w:rFonts w:cs="Arial"/>
          <w:sz w:val="22"/>
        </w:rPr>
      </w:r>
    </w:p>
    <w:p>
      <w:pPr>
        <w:pStyle w:val="Header"/>
        <w:numPr>
          <w:ilvl w:val="0"/>
          <w:numId w:val="4"/>
        </w:numPr>
        <w:tabs>
          <w:tab w:val="clear" w:pos="4320"/>
          <w:tab w:val="clear" w:pos="8640"/>
          <w:tab w:val="right" w:pos="9360" w:leader="none"/>
        </w:tabs>
        <w:jc w:val="both"/>
        <w:rPr>
          <w:rFonts w:cs="Arial"/>
          <w:sz w:val="22"/>
        </w:rPr>
      </w:pPr>
      <w:r>
        <w:rPr>
          <w:rFonts w:cs="Arial"/>
          <w:sz w:val="22"/>
        </w:rPr>
        <w:t>As indicated above, the Electricity Market Readiness Plan adopted by the Ontario Energy Board and the Independent Market Operator targets the systems, processes and other requirements of the wholesale and retail markets to be ready for a market opening in late October/early November 2001.</w:t>
      </w:r>
    </w:p>
    <w:p>
      <w:pPr>
        <w:pStyle w:val="Header"/>
        <w:tabs>
          <w:tab w:val="clear" w:pos="4320"/>
          <w:tab w:val="clear" w:pos="8640"/>
          <w:tab w:val="right" w:pos="9360" w:leader="none"/>
        </w:tabs>
        <w:ind w:start="360" w:end="0"/>
        <w:jc w:val="both"/>
        <w:rPr>
          <w:rFonts w:cs="Arial"/>
          <w:sz w:val="22"/>
        </w:rPr>
      </w:pPr>
      <w:r>
        <w:rPr>
          <w:rFonts w:cs="Arial"/>
          <w:sz w:val="22"/>
        </w:rPr>
      </w:r>
    </w:p>
    <w:p>
      <w:pPr>
        <w:pStyle w:val="Header"/>
        <w:numPr>
          <w:ilvl w:val="0"/>
          <w:numId w:val="4"/>
        </w:numPr>
        <w:tabs>
          <w:tab w:val="clear" w:pos="4320"/>
          <w:tab w:val="clear" w:pos="8640"/>
          <w:tab w:val="right" w:pos="9360" w:leader="none"/>
        </w:tabs>
        <w:jc w:val="both"/>
        <w:rPr>
          <w:rFonts w:cs="Arial"/>
          <w:sz w:val="22"/>
        </w:rPr>
      </w:pPr>
      <w:r>
        <w:rPr>
          <w:rFonts w:cs="Arial"/>
          <w:sz w:val="22"/>
        </w:rPr>
        <w:t>The Electricity Market Readiness Plan was developed by the two senior regulatory bodies in the Province after extensive consultation with a broad range of market participants, including distributors, retailers, consumer groups, and EBT developers.</w:t>
      </w:r>
    </w:p>
    <w:p>
      <w:pPr>
        <w:pStyle w:val="Header"/>
        <w:tabs>
          <w:tab w:val="clear" w:pos="4320"/>
          <w:tab w:val="clear" w:pos="8640"/>
          <w:tab w:val="right" w:pos="9360" w:leader="none"/>
        </w:tabs>
        <w:ind w:start="360" w:end="0"/>
        <w:jc w:val="both"/>
        <w:rPr>
          <w:rFonts w:cs="Arial"/>
          <w:sz w:val="22"/>
        </w:rPr>
      </w:pPr>
      <w:r>
        <w:rPr>
          <w:rFonts w:cs="Arial"/>
          <w:sz w:val="22"/>
        </w:rPr>
      </w:r>
    </w:p>
    <w:p>
      <w:pPr>
        <w:pStyle w:val="Header"/>
        <w:numPr>
          <w:ilvl w:val="0"/>
          <w:numId w:val="4"/>
        </w:numPr>
        <w:tabs>
          <w:tab w:val="clear" w:pos="4320"/>
          <w:tab w:val="clear" w:pos="8640"/>
          <w:tab w:val="right" w:pos="9360" w:leader="none"/>
        </w:tabs>
        <w:jc w:val="both"/>
        <w:rPr>
          <w:rFonts w:cs="Arial"/>
          <w:sz w:val="22"/>
        </w:rPr>
      </w:pPr>
      <w:r>
        <w:rPr>
          <w:rFonts w:cs="Arial"/>
          <w:sz w:val="22"/>
        </w:rPr>
        <w:t>Our position is that this Plan represents a realistic and achievable approach to market opening.</w:t>
      </w:r>
    </w:p>
    <w:p>
      <w:pPr>
        <w:pStyle w:val="Header"/>
        <w:tabs>
          <w:tab w:val="clear" w:pos="4320"/>
          <w:tab w:val="clear" w:pos="8640"/>
          <w:tab w:val="right" w:pos="9360" w:leader="none"/>
        </w:tabs>
        <w:jc w:val="both"/>
        <w:rPr>
          <w:rFonts w:cs="Arial"/>
          <w:sz w:val="22"/>
        </w:rPr>
      </w:pPr>
      <w:r>
        <w:rPr>
          <w:rFonts w:cs="Arial"/>
          <w:sz w:val="22"/>
        </w:rPr>
      </w:r>
    </w:p>
    <w:p>
      <w:pPr>
        <w:pStyle w:val="Header"/>
        <w:numPr>
          <w:ilvl w:val="0"/>
          <w:numId w:val="4"/>
        </w:numPr>
        <w:tabs>
          <w:tab w:val="clear" w:pos="4320"/>
          <w:tab w:val="clear" w:pos="8640"/>
          <w:tab w:val="right" w:pos="9360" w:leader="none"/>
        </w:tabs>
        <w:jc w:val="both"/>
        <w:rPr>
          <w:rFonts w:cs="Arial"/>
          <w:sz w:val="22"/>
        </w:rPr>
      </w:pPr>
      <w:r>
        <w:rPr>
          <w:rFonts w:cs="Arial"/>
          <w:sz w:val="22"/>
        </w:rPr>
        <w:t>The Plan contemplates that the OEB and IMO will deliver “market readiness status reports” to the Ministry of Energy in early September 2001.  The IMO report will address the readiness of the wholesale market.  The OEB report will address the readiness of the retail market.</w:t>
      </w:r>
    </w:p>
    <w:p>
      <w:pPr>
        <w:pStyle w:val="Header"/>
        <w:tabs>
          <w:tab w:val="clear" w:pos="4320"/>
          <w:tab w:val="clear" w:pos="8640"/>
          <w:tab w:val="right" w:pos="9360" w:leader="none"/>
        </w:tabs>
        <w:jc w:val="both"/>
        <w:rPr>
          <w:rFonts w:cs="Arial"/>
          <w:sz w:val="22"/>
        </w:rPr>
      </w:pPr>
      <w:r>
        <w:rPr>
          <w:rFonts w:cs="Arial"/>
          <w:sz w:val="22"/>
        </w:rPr>
      </w:r>
    </w:p>
    <w:p>
      <w:pPr>
        <w:pStyle w:val="Header"/>
        <w:numPr>
          <w:ilvl w:val="0"/>
          <w:numId w:val="4"/>
        </w:numPr>
        <w:tabs>
          <w:tab w:val="clear" w:pos="4320"/>
          <w:tab w:val="clear" w:pos="8640"/>
          <w:tab w:val="right" w:pos="9360" w:leader="none"/>
        </w:tabs>
        <w:jc w:val="both"/>
        <w:rPr>
          <w:rFonts w:cs="Arial"/>
          <w:sz w:val="22"/>
        </w:rPr>
      </w:pPr>
      <w:r>
        <w:rPr>
          <w:rFonts w:cs="Arial"/>
          <w:sz w:val="22"/>
        </w:rPr>
        <w:t xml:space="preserve">At this stage, we should express confidence that the IMO and OEB reports will indicate that the wholesale and retail markets are “ready”.  </w:t>
      </w:r>
    </w:p>
    <w:p>
      <w:pPr>
        <w:pStyle w:val="Header"/>
        <w:tabs>
          <w:tab w:val="clear" w:pos="4320"/>
          <w:tab w:val="clear" w:pos="8640"/>
          <w:tab w:val="right" w:pos="9360" w:leader="none"/>
        </w:tabs>
        <w:jc w:val="both"/>
        <w:rPr>
          <w:rFonts w:cs="Arial"/>
          <w:sz w:val="22"/>
        </w:rPr>
      </w:pPr>
      <w:r>
        <w:rPr>
          <w:rFonts w:cs="Arial"/>
          <w:sz w:val="22"/>
        </w:rPr>
      </w:r>
    </w:p>
    <w:p>
      <w:pPr>
        <w:pStyle w:val="Header"/>
        <w:numPr>
          <w:ilvl w:val="0"/>
          <w:numId w:val="4"/>
        </w:numPr>
        <w:tabs>
          <w:tab w:val="clear" w:pos="4320"/>
          <w:tab w:val="clear" w:pos="8640"/>
          <w:tab w:val="right" w:pos="9360" w:leader="none"/>
        </w:tabs>
        <w:jc w:val="both"/>
        <w:rPr>
          <w:rFonts w:cs="Arial"/>
          <w:sz w:val="22"/>
        </w:rPr>
      </w:pPr>
      <w:r>
        <w:rPr>
          <w:rFonts w:cs="Arial"/>
          <w:sz w:val="22"/>
        </w:rPr>
        <w:t>There is a high degree of likelihood that some small LDCs may not be ready.  The OEB already accepts that this circumstance should not delay market opening for those that are ready.  Contingency plans are being developed to handle those small LDCs which are not ready.</w:t>
      </w:r>
    </w:p>
    <w:p>
      <w:pPr>
        <w:pStyle w:val="Header"/>
        <w:tabs>
          <w:tab w:val="clear" w:pos="4320"/>
          <w:tab w:val="clear" w:pos="8640"/>
          <w:tab w:val="right" w:pos="9360" w:leader="none"/>
        </w:tabs>
        <w:jc w:val="both"/>
        <w:rPr>
          <w:rFonts w:cs="Arial"/>
          <w:sz w:val="22"/>
        </w:rPr>
      </w:pPr>
      <w:r>
        <w:rPr>
          <w:rFonts w:cs="Arial"/>
          <w:sz w:val="22"/>
        </w:rPr>
      </w:r>
    </w:p>
    <w:p>
      <w:pPr>
        <w:pStyle w:val="Header"/>
        <w:numPr>
          <w:ilvl w:val="0"/>
          <w:numId w:val="4"/>
        </w:numPr>
        <w:tabs>
          <w:tab w:val="clear" w:pos="4320"/>
          <w:tab w:val="clear" w:pos="8640"/>
          <w:tab w:val="right" w:pos="9360" w:leader="none"/>
        </w:tabs>
        <w:jc w:val="both"/>
        <w:rPr>
          <w:rFonts w:cs="Arial"/>
          <w:sz w:val="22"/>
        </w:rPr>
      </w:pPr>
      <w:r>
        <w:rPr>
          <w:rFonts w:cs="Arial"/>
          <w:sz w:val="22"/>
        </w:rPr>
        <w:t>Assuming that the IMO and OEB reports are “positive”, the Government should be in a position to authorize the IMO to proceed with the last phase of IMO systems testing (coupled Operational Dry Run) in late September and to open the wholesale and retail markets by November 1, 2001.</w:t>
      </w:r>
    </w:p>
    <w:p>
      <w:pPr>
        <w:pStyle w:val="Header"/>
        <w:tabs>
          <w:tab w:val="clear" w:pos="4320"/>
          <w:tab w:val="clear" w:pos="8640"/>
          <w:tab w:val="right" w:pos="9360" w:leader="none"/>
        </w:tabs>
        <w:jc w:val="both"/>
        <w:rPr>
          <w:rFonts w:cs="Arial"/>
          <w:sz w:val="22"/>
        </w:rPr>
      </w:pPr>
      <w:r>
        <w:rPr>
          <w:rFonts w:cs="Arial"/>
          <w:sz w:val="22"/>
        </w:rPr>
      </w:r>
    </w:p>
    <w:p>
      <w:pPr>
        <w:pStyle w:val="Header"/>
        <w:numPr>
          <w:ilvl w:val="0"/>
          <w:numId w:val="4"/>
        </w:numPr>
        <w:tabs>
          <w:tab w:val="clear" w:pos="4320"/>
          <w:tab w:val="clear" w:pos="8640"/>
          <w:tab w:val="right" w:pos="9360" w:leader="none"/>
        </w:tabs>
        <w:jc w:val="both"/>
        <w:rPr>
          <w:rFonts w:cs="Arial"/>
          <w:sz w:val="22"/>
        </w:rPr>
      </w:pPr>
      <w:r>
        <w:rPr>
          <w:rFonts w:cs="Arial"/>
          <w:sz w:val="22"/>
        </w:rPr>
        <w:t>If, in fact, the IMO and OEB reports are “positive”, we see no considerations that should prevent the Government from moving forward, in accordance with the IMO/OEB Market Readiness Plan, and from opening the market in November 2001:</w:t>
      </w:r>
    </w:p>
    <w:p>
      <w:pPr>
        <w:pStyle w:val="Header"/>
        <w:tabs>
          <w:tab w:val="clear" w:pos="4320"/>
          <w:tab w:val="clear" w:pos="8640"/>
          <w:tab w:val="right" w:pos="9360" w:leader="none"/>
        </w:tabs>
        <w:jc w:val="both"/>
        <w:rPr>
          <w:rFonts w:cs="Arial"/>
          <w:sz w:val="22"/>
        </w:rPr>
      </w:pPr>
      <w:r>
        <w:rPr>
          <w:rFonts w:cs="Arial"/>
          <w:sz w:val="22"/>
        </w:rPr>
      </w:r>
    </w:p>
    <w:p>
      <w:pPr>
        <w:pStyle w:val="Header"/>
        <w:numPr>
          <w:ilvl w:val="1"/>
          <w:numId w:val="4"/>
        </w:numPr>
        <w:tabs>
          <w:tab w:val="clear" w:pos="4320"/>
          <w:tab w:val="clear" w:pos="8640"/>
          <w:tab w:val="left" w:pos="1080" w:leader="none"/>
          <w:tab w:val="right" w:pos="9360" w:leader="none"/>
        </w:tabs>
        <w:ind w:hanging="360" w:start="1080" w:end="0"/>
        <w:jc w:val="both"/>
        <w:rPr>
          <w:rFonts w:cs="Arial"/>
          <w:sz w:val="22"/>
        </w:rPr>
      </w:pPr>
      <w:r>
        <w:rPr>
          <w:rFonts w:cs="Arial"/>
          <w:sz w:val="22"/>
        </w:rPr>
        <w:t>Our position is that the Government’s four “guiding principles” have already been or will be satisfied by November 2001 (see Part III below).</w:t>
      </w:r>
    </w:p>
    <w:p>
      <w:pPr>
        <w:pStyle w:val="Header"/>
        <w:tabs>
          <w:tab w:val="clear" w:pos="4320"/>
          <w:tab w:val="clear" w:pos="8640"/>
          <w:tab w:val="left" w:pos="1080" w:leader="none"/>
          <w:tab w:val="right" w:pos="9360" w:leader="none"/>
        </w:tabs>
        <w:ind w:hanging="360" w:start="1080" w:end="0"/>
        <w:jc w:val="both"/>
        <w:rPr>
          <w:rFonts w:cs="Arial"/>
          <w:sz w:val="22"/>
        </w:rPr>
      </w:pPr>
      <w:r>
        <w:rPr>
          <w:rFonts w:cs="Arial"/>
          <w:sz w:val="22"/>
        </w:rPr>
      </w:r>
    </w:p>
    <w:p>
      <w:pPr>
        <w:pStyle w:val="Header"/>
        <w:numPr>
          <w:ilvl w:val="1"/>
          <w:numId w:val="4"/>
        </w:numPr>
        <w:tabs>
          <w:tab w:val="clear" w:pos="4320"/>
          <w:tab w:val="clear" w:pos="8640"/>
          <w:tab w:val="left" w:pos="1080" w:leader="none"/>
          <w:tab w:val="right" w:pos="9360" w:leader="none"/>
        </w:tabs>
        <w:ind w:hanging="360" w:start="1080" w:end="0"/>
        <w:jc w:val="both"/>
        <w:rPr>
          <w:rFonts w:cs="Arial"/>
          <w:sz w:val="22"/>
        </w:rPr>
      </w:pPr>
      <w:r>
        <w:rPr>
          <w:rFonts w:cs="Arial"/>
          <w:sz w:val="22"/>
        </w:rPr>
        <w:t>Our position is that there is no substance to the other arguments that have been raised against a November 2001 market opening (see Part IV below).</w:t>
      </w:r>
    </w:p>
    <w:p>
      <w:pPr>
        <w:pStyle w:val="Header"/>
        <w:tabs>
          <w:tab w:val="clear" w:pos="4320"/>
          <w:tab w:val="clear" w:pos="8640"/>
          <w:tab w:val="right" w:pos="9360" w:leader="none"/>
        </w:tabs>
        <w:rPr>
          <w:rFonts w:cs="Arial"/>
          <w:sz w:val="22"/>
        </w:rPr>
      </w:pPr>
      <w:r>
        <w:rPr>
          <w:rFonts w:cs="Arial"/>
          <w:sz w:val="22"/>
        </w:rPr>
      </w:r>
    </w:p>
    <w:p>
      <w:pPr>
        <w:pStyle w:val="Header"/>
        <w:numPr>
          <w:ilvl w:val="0"/>
          <w:numId w:val="7"/>
        </w:numPr>
        <w:tabs>
          <w:tab w:val="clear" w:pos="4320"/>
          <w:tab w:val="clear" w:pos="8640"/>
          <w:tab w:val="right" w:pos="9360" w:leader="none"/>
        </w:tabs>
        <w:jc w:val="both"/>
        <w:rPr>
          <w:rFonts w:cs="Arial"/>
          <w:sz w:val="22"/>
        </w:rPr>
      </w:pPr>
      <w:r>
        <w:rPr>
          <w:rFonts w:cs="Arial"/>
          <w:sz w:val="22"/>
        </w:rPr>
        <w:t>For prospective developers and investors, May 2002 is not a credible market opening date/target.  The concern is that, by that time, we will be running up against election planning and that some key people within the governing Progressive Conservative Party will be pushing to delay market opening until after the election.  The election would not normally be expected until 2003, but some speculate that it could come as early as the Fall of 2002.</w:t>
      </w:r>
      <w:r>
        <w:br w:type="page"/>
      </w:r>
    </w:p>
    <w:p>
      <w:pPr>
        <w:pStyle w:val="Header"/>
        <w:tabs>
          <w:tab w:val="clear" w:pos="4320"/>
          <w:tab w:val="clear" w:pos="8640"/>
          <w:tab w:val="right" w:pos="9360" w:leader="none"/>
        </w:tabs>
        <w:rPr>
          <w:rFonts w:cs="Arial"/>
          <w:sz w:val="22"/>
        </w:rPr>
      </w:pPr>
      <w:r>
        <w:rPr>
          <w:rFonts w:cs="Arial"/>
          <w:sz w:val="22"/>
        </w:rPr>
      </w:r>
    </w:p>
    <w:p>
      <w:pPr>
        <w:pStyle w:val="Heading1"/>
        <w:ind w:hanging="720" w:start="720" w:end="0"/>
        <w:jc w:val="both"/>
        <w:rPr>
          <w:sz w:val="22"/>
        </w:rPr>
      </w:pPr>
      <w:r>
        <w:rPr>
          <w:sz w:val="22"/>
        </w:rPr>
        <w:t>IV.</w:t>
        <w:tab/>
        <w:t>T</w:t>
      </w:r>
      <w:r>
        <w:rPr>
          <w:sz w:val="22"/>
          <w:u w:val="single"/>
        </w:rPr>
        <w:t>he Government’s Four Guiding Principles Regarding the Opening of the Ontario Electricity Market</w:t>
      </w:r>
    </w:p>
    <w:p>
      <w:pPr>
        <w:pStyle w:val="Normal"/>
        <w:jc w:val="both"/>
        <w:rPr>
          <w:rFonts w:cs="Arial"/>
          <w:sz w:val="22"/>
        </w:rPr>
      </w:pPr>
      <w:r>
        <w:rPr>
          <w:rFonts w:cs="Arial"/>
          <w:sz w:val="22"/>
        </w:rPr>
      </w:r>
    </w:p>
    <w:p>
      <w:pPr>
        <w:pStyle w:val="Normal"/>
        <w:numPr>
          <w:ilvl w:val="2"/>
          <w:numId w:val="6"/>
        </w:numPr>
        <w:tabs>
          <w:tab w:val="clear" w:pos="540"/>
        </w:tabs>
        <w:ind w:hanging="360" w:start="720" w:end="0"/>
        <w:jc w:val="both"/>
        <w:rPr>
          <w:rFonts w:cs="Arial"/>
          <w:sz w:val="22"/>
        </w:rPr>
      </w:pPr>
      <w:r>
        <w:rPr>
          <w:rFonts w:cs="Arial"/>
          <w:sz w:val="22"/>
        </w:rPr>
        <w:t>Enron Canada is confident that these “guiding principles” have already been or will be satisfied by November 2001.</w:t>
      </w:r>
    </w:p>
    <w:p>
      <w:pPr>
        <w:pStyle w:val="Normal"/>
        <w:tabs>
          <w:tab w:val="clear" w:pos="540"/>
        </w:tabs>
        <w:jc w:val="both"/>
        <w:rPr>
          <w:rFonts w:cs="Arial"/>
          <w:sz w:val="22"/>
        </w:rPr>
      </w:pPr>
      <w:r>
        <w:rPr>
          <w:rFonts w:cs="Arial"/>
          <w:sz w:val="22"/>
        </w:rPr>
      </w:r>
    </w:p>
    <w:p>
      <w:pPr>
        <w:pStyle w:val="Normal"/>
        <w:tabs>
          <w:tab w:val="clear" w:pos="540"/>
        </w:tabs>
        <w:jc w:val="both"/>
        <w:rPr>
          <w:rFonts w:cs="Arial"/>
          <w:sz w:val="22"/>
        </w:rPr>
      </w:pPr>
      <w:r>
        <w:rPr>
          <w:rFonts w:cs="Arial"/>
          <w:sz w:val="22"/>
        </w:rPr>
      </w:r>
    </w:p>
    <w:p>
      <w:pPr>
        <w:pStyle w:val="Heading2"/>
        <w:ind w:hanging="0" w:start="0"/>
        <w:rPr/>
      </w:pPr>
      <w:r>
        <w:rPr/>
        <w:t>Guiding Principle 1:  Protecting Consumers and Offering Choice</w:t>
      </w:r>
    </w:p>
    <w:p>
      <w:pPr>
        <w:pStyle w:val="Normal"/>
        <w:tabs>
          <w:tab w:val="clear" w:pos="540"/>
        </w:tabs>
        <w:jc w:val="both"/>
        <w:rPr>
          <w:rFonts w:cs="Arial"/>
          <w:sz w:val="22"/>
        </w:rPr>
      </w:pPr>
      <w:r>
        <w:rPr>
          <w:rFonts w:cs="Arial"/>
          <w:sz w:val="22"/>
        </w:rPr>
      </w:r>
    </w:p>
    <w:p>
      <w:pPr>
        <w:pStyle w:val="Normal"/>
        <w:numPr>
          <w:ilvl w:val="0"/>
          <w:numId w:val="18"/>
        </w:numPr>
        <w:tabs>
          <w:tab w:val="clear" w:pos="540"/>
        </w:tabs>
        <w:jc w:val="both"/>
        <w:rPr>
          <w:rFonts w:cs="Arial"/>
          <w:sz w:val="22"/>
        </w:rPr>
      </w:pPr>
      <w:r>
        <w:rPr>
          <w:rFonts w:cs="Arial"/>
          <w:sz w:val="22"/>
        </w:rPr>
        <w:t xml:space="preserve">Ontario electricity consumers are protected </w:t>
      </w:r>
      <w:r>
        <w:rPr>
          <w:rFonts w:cs="Arial"/>
          <w:sz w:val="22"/>
          <w:u w:val="single"/>
        </w:rPr>
        <w:t>now</w:t>
      </w:r>
      <w:r>
        <w:rPr>
          <w:rFonts w:cs="Arial"/>
          <w:sz w:val="22"/>
        </w:rPr>
        <w:t>, in advance of market opening.</w:t>
      </w:r>
    </w:p>
    <w:p>
      <w:pPr>
        <w:pStyle w:val="Normal"/>
        <w:tabs>
          <w:tab w:val="clear" w:pos="540"/>
        </w:tabs>
        <w:ind w:start="360" w:end="0"/>
        <w:jc w:val="both"/>
        <w:rPr>
          <w:rFonts w:cs="Arial"/>
          <w:sz w:val="22"/>
        </w:rPr>
      </w:pPr>
      <w:r>
        <w:rPr>
          <w:rFonts w:cs="Arial"/>
          <w:sz w:val="22"/>
        </w:rPr>
      </w:r>
    </w:p>
    <w:p>
      <w:pPr>
        <w:pStyle w:val="Normal"/>
        <w:numPr>
          <w:ilvl w:val="0"/>
          <w:numId w:val="18"/>
        </w:numPr>
        <w:tabs>
          <w:tab w:val="clear" w:pos="540"/>
        </w:tabs>
        <w:jc w:val="both"/>
        <w:rPr>
          <w:rFonts w:cs="Arial"/>
          <w:sz w:val="22"/>
        </w:rPr>
      </w:pPr>
      <w:r>
        <w:rPr>
          <w:rFonts w:cs="Arial"/>
          <w:sz w:val="22"/>
        </w:rPr>
        <w:t>The OEB has already promulgated a comprehensive set of rules, codes, and licensing conditions for LDCs and retailers that are designed to protect consumers, particularly small volume consumers.</w:t>
      </w:r>
    </w:p>
    <w:p>
      <w:pPr>
        <w:pStyle w:val="Normal"/>
        <w:tabs>
          <w:tab w:val="clear" w:pos="540"/>
        </w:tabs>
        <w:ind w:start="360" w:end="0"/>
        <w:jc w:val="both"/>
        <w:rPr>
          <w:rFonts w:cs="Arial"/>
          <w:sz w:val="22"/>
        </w:rPr>
      </w:pPr>
      <w:r>
        <w:rPr>
          <w:rFonts w:cs="Arial"/>
          <w:sz w:val="22"/>
        </w:rPr>
      </w:r>
    </w:p>
    <w:p>
      <w:pPr>
        <w:pStyle w:val="Normal"/>
        <w:numPr>
          <w:ilvl w:val="0"/>
          <w:numId w:val="18"/>
        </w:numPr>
        <w:tabs>
          <w:tab w:val="clear" w:pos="540"/>
        </w:tabs>
        <w:jc w:val="both"/>
        <w:rPr>
          <w:rFonts w:cs="Arial"/>
          <w:sz w:val="22"/>
        </w:rPr>
      </w:pPr>
      <w:r>
        <w:rPr>
          <w:rFonts w:cs="Arial"/>
          <w:sz w:val="22"/>
        </w:rPr>
        <w:t xml:space="preserve">Ontario electricity consumers can exercise choice </w:t>
      </w:r>
      <w:r>
        <w:rPr>
          <w:rFonts w:cs="Arial"/>
          <w:sz w:val="22"/>
          <w:u w:val="single"/>
        </w:rPr>
        <w:t>now</w:t>
      </w:r>
      <w:r>
        <w:rPr>
          <w:rFonts w:cs="Arial"/>
          <w:sz w:val="22"/>
        </w:rPr>
        <w:t>, in advance of market opening.</w:t>
      </w:r>
    </w:p>
    <w:p>
      <w:pPr>
        <w:pStyle w:val="Normal"/>
        <w:tabs>
          <w:tab w:val="clear" w:pos="540"/>
        </w:tabs>
        <w:ind w:start="360" w:end="0"/>
        <w:jc w:val="both"/>
        <w:rPr>
          <w:rFonts w:cs="Arial"/>
          <w:sz w:val="22"/>
        </w:rPr>
      </w:pPr>
      <w:r>
        <w:rPr>
          <w:rFonts w:cs="Arial"/>
          <w:sz w:val="22"/>
        </w:rPr>
      </w:r>
    </w:p>
    <w:p>
      <w:pPr>
        <w:pStyle w:val="Normal"/>
        <w:numPr>
          <w:ilvl w:val="0"/>
          <w:numId w:val="18"/>
        </w:numPr>
        <w:tabs>
          <w:tab w:val="clear" w:pos="540"/>
        </w:tabs>
        <w:jc w:val="both"/>
        <w:rPr>
          <w:rFonts w:cs="Arial"/>
          <w:sz w:val="22"/>
        </w:rPr>
      </w:pPr>
      <w:r>
        <w:rPr>
          <w:rFonts w:cs="Arial"/>
          <w:sz w:val="22"/>
        </w:rPr>
        <w:t>At least three major retailers – Toronto Hydro Energy Services, Direct Energy (owned by Centrica) and Ontario Hydro Energy – are already marketing in the residential and commercial sectors.  A fourth major retailer to small volume customers – Ontario Energy Savings Corp. – is expected to initiate a major marketing initiative over the summer months.</w:t>
      </w:r>
    </w:p>
    <w:p>
      <w:pPr>
        <w:pStyle w:val="Normal"/>
        <w:tabs>
          <w:tab w:val="clear" w:pos="540"/>
        </w:tabs>
        <w:jc w:val="both"/>
        <w:rPr>
          <w:rFonts w:cs="Arial"/>
          <w:sz w:val="22"/>
        </w:rPr>
      </w:pPr>
      <w:r>
        <w:rPr>
          <w:rFonts w:cs="Arial"/>
          <w:sz w:val="22"/>
        </w:rPr>
      </w:r>
    </w:p>
    <w:p>
      <w:pPr>
        <w:pStyle w:val="Normal"/>
        <w:numPr>
          <w:ilvl w:val="0"/>
          <w:numId w:val="18"/>
        </w:numPr>
        <w:tabs>
          <w:tab w:val="clear" w:pos="540"/>
        </w:tabs>
        <w:jc w:val="both"/>
        <w:rPr>
          <w:rFonts w:cs="Arial"/>
          <w:sz w:val="22"/>
        </w:rPr>
      </w:pPr>
      <w:r>
        <w:rPr>
          <w:rFonts w:cs="Arial"/>
          <w:sz w:val="22"/>
        </w:rPr>
        <w:t>A significant number of small customers have already exercised their choice of electricity supplier.</w:t>
      </w:r>
    </w:p>
    <w:p>
      <w:pPr>
        <w:pStyle w:val="Normal"/>
        <w:tabs>
          <w:tab w:val="clear" w:pos="540"/>
        </w:tabs>
        <w:jc w:val="both"/>
        <w:rPr>
          <w:rFonts w:cs="Arial"/>
          <w:sz w:val="22"/>
        </w:rPr>
      </w:pPr>
      <w:r>
        <w:rPr>
          <w:rFonts w:cs="Arial"/>
          <w:sz w:val="22"/>
        </w:rPr>
      </w:r>
    </w:p>
    <w:p>
      <w:pPr>
        <w:pStyle w:val="Normal"/>
        <w:numPr>
          <w:ilvl w:val="0"/>
          <w:numId w:val="18"/>
        </w:numPr>
        <w:tabs>
          <w:tab w:val="clear" w:pos="540"/>
        </w:tabs>
        <w:jc w:val="both"/>
        <w:rPr>
          <w:rFonts w:cs="Arial"/>
          <w:sz w:val="22"/>
        </w:rPr>
      </w:pPr>
      <w:r>
        <w:rPr>
          <w:rFonts w:cs="Arial"/>
          <w:sz w:val="22"/>
        </w:rPr>
        <w:t>Industry observers estimate that well over 600,000 households and small businesses have already opted to buy their electricity from a retailer other than their incumbent distributor once the market opens.  In some of the large urban areas, the enrollment rate may be as high as 35 - 40 percent.  Industry observers expect that number to grow substantially over the next several months.</w:t>
      </w:r>
    </w:p>
    <w:p>
      <w:pPr>
        <w:pStyle w:val="Normal"/>
        <w:tabs>
          <w:tab w:val="clear" w:pos="540"/>
        </w:tabs>
        <w:jc w:val="both"/>
        <w:rPr>
          <w:rFonts w:cs="Arial"/>
          <w:sz w:val="22"/>
        </w:rPr>
      </w:pPr>
      <w:r>
        <w:rPr>
          <w:rFonts w:cs="Arial"/>
          <w:sz w:val="22"/>
        </w:rPr>
      </w:r>
    </w:p>
    <w:p>
      <w:pPr>
        <w:pStyle w:val="Normal"/>
        <w:numPr>
          <w:ilvl w:val="0"/>
          <w:numId w:val="18"/>
        </w:numPr>
        <w:tabs>
          <w:tab w:val="clear" w:pos="540"/>
        </w:tabs>
        <w:jc w:val="both"/>
        <w:rPr>
          <w:rFonts w:cs="Arial"/>
          <w:sz w:val="22"/>
        </w:rPr>
      </w:pPr>
      <w:r>
        <w:rPr>
          <w:rFonts w:cs="Arial"/>
          <w:sz w:val="22"/>
        </w:rPr>
        <w:t>In the industrial sector - OPG, Enron Canada, Toronto Hydro Energy Services, and others - are already offering a range of pricing products and related services to large loads.</w:t>
      </w:r>
    </w:p>
    <w:p>
      <w:pPr>
        <w:pStyle w:val="Normal"/>
        <w:tabs>
          <w:tab w:val="clear" w:pos="540"/>
        </w:tabs>
        <w:jc w:val="both"/>
        <w:rPr>
          <w:rFonts w:cs="Arial"/>
          <w:sz w:val="22"/>
        </w:rPr>
      </w:pPr>
      <w:r>
        <w:rPr>
          <w:rFonts w:cs="Arial"/>
          <w:sz w:val="22"/>
        </w:rPr>
      </w:r>
    </w:p>
    <w:p>
      <w:pPr>
        <w:pStyle w:val="Normal"/>
        <w:numPr>
          <w:ilvl w:val="0"/>
          <w:numId w:val="18"/>
        </w:numPr>
        <w:tabs>
          <w:tab w:val="clear" w:pos="540"/>
        </w:tabs>
        <w:jc w:val="both"/>
        <w:rPr>
          <w:rFonts w:cs="Arial"/>
          <w:sz w:val="22"/>
        </w:rPr>
      </w:pPr>
      <w:r>
        <w:rPr>
          <w:rFonts w:cs="Arial"/>
          <w:sz w:val="22"/>
        </w:rPr>
        <w:t>For instance, Enron Canada has already completed contracts with a number of large customers and has helped these customers lock in prices in advance of market opening.</w:t>
      </w:r>
    </w:p>
    <w:p>
      <w:pPr>
        <w:pStyle w:val="Normal"/>
        <w:tabs>
          <w:tab w:val="clear" w:pos="540"/>
        </w:tabs>
        <w:jc w:val="both"/>
        <w:rPr>
          <w:rFonts w:cs="Arial"/>
          <w:sz w:val="22"/>
        </w:rPr>
      </w:pPr>
      <w:r>
        <w:rPr>
          <w:rFonts w:cs="Arial"/>
          <w:sz w:val="22"/>
        </w:rPr>
      </w:r>
    </w:p>
    <w:p>
      <w:pPr>
        <w:pStyle w:val="Normal"/>
        <w:numPr>
          <w:ilvl w:val="0"/>
          <w:numId w:val="18"/>
        </w:numPr>
        <w:tabs>
          <w:tab w:val="clear" w:pos="540"/>
        </w:tabs>
        <w:jc w:val="both"/>
        <w:rPr>
          <w:rFonts w:cs="Arial"/>
          <w:sz w:val="22"/>
        </w:rPr>
      </w:pPr>
      <w:r>
        <w:rPr>
          <w:rFonts w:cs="Arial"/>
          <w:sz w:val="22"/>
        </w:rPr>
        <w:t>Enron can also offer industrial customers a product designed to give those customers short-term Winter 2001/2002 price protection for the 60 or 90 days following a November 1 market opening.  This product will help industrials manage the “transition” from a regulated rate environment to an open market environment.</w:t>
      </w:r>
    </w:p>
    <w:p>
      <w:pPr>
        <w:pStyle w:val="Normal"/>
        <w:tabs>
          <w:tab w:val="clear" w:pos="540"/>
        </w:tabs>
        <w:jc w:val="both"/>
        <w:rPr>
          <w:rFonts w:cs="Arial"/>
          <w:sz w:val="22"/>
        </w:rPr>
      </w:pPr>
      <w:r>
        <w:rPr>
          <w:rFonts w:cs="Arial"/>
          <w:sz w:val="22"/>
        </w:rPr>
      </w:r>
    </w:p>
    <w:p>
      <w:pPr>
        <w:pStyle w:val="Normal"/>
        <w:numPr>
          <w:ilvl w:val="0"/>
          <w:numId w:val="18"/>
        </w:numPr>
        <w:tabs>
          <w:tab w:val="clear" w:pos="540"/>
        </w:tabs>
        <w:jc w:val="both"/>
        <w:rPr>
          <w:rFonts w:cs="Arial"/>
          <w:sz w:val="22"/>
        </w:rPr>
      </w:pPr>
      <w:r>
        <w:rPr>
          <w:rFonts w:cs="Arial"/>
          <w:sz w:val="22"/>
        </w:rPr>
        <w:t>Some consumers will make the choice to enter the open market unhedged.  Those consumers are nonetheless protected by the rebate mechanism under the Market Power Mitigation Agreement and, in the case of many industrial customers, by the OPG “transitional rate” arrangements.</w:t>
      </w:r>
    </w:p>
    <w:p>
      <w:pPr>
        <w:pStyle w:val="Normal"/>
        <w:tabs>
          <w:tab w:val="clear" w:pos="540"/>
        </w:tabs>
        <w:jc w:val="both"/>
        <w:rPr>
          <w:rFonts w:cs="Arial"/>
          <w:sz w:val="22"/>
        </w:rPr>
      </w:pPr>
      <w:r>
        <w:rPr>
          <w:rFonts w:cs="Arial"/>
          <w:sz w:val="22"/>
        </w:rPr>
      </w:r>
    </w:p>
    <w:p>
      <w:pPr>
        <w:pStyle w:val="Normal"/>
        <w:numPr>
          <w:ilvl w:val="0"/>
          <w:numId w:val="18"/>
        </w:numPr>
        <w:tabs>
          <w:tab w:val="clear" w:pos="540"/>
        </w:tabs>
        <w:jc w:val="both"/>
        <w:rPr>
          <w:rFonts w:cs="Arial"/>
          <w:sz w:val="22"/>
        </w:rPr>
      </w:pPr>
      <w:r>
        <w:rPr>
          <w:rFonts w:cs="Arial"/>
          <w:sz w:val="22"/>
        </w:rPr>
        <w:t xml:space="preserve">Those consumers who choose to enter the market unhedged will, in fact, be served better by an earlier market opening date (i.e. November 2001) than by a later opening date (i.e. Spring 2002).  Although Ontario demand typically peaks in the winter months, market fundamentals throughout the Eastern Interconnect indicate that Ontario prices will peak in the summer months rather than the winter months.  </w:t>
      </w:r>
    </w:p>
    <w:p>
      <w:pPr>
        <w:pStyle w:val="Normal"/>
        <w:tabs>
          <w:tab w:val="clear" w:pos="540"/>
        </w:tabs>
        <w:jc w:val="both"/>
        <w:rPr>
          <w:rFonts w:cs="Arial"/>
          <w:sz w:val="22"/>
        </w:rPr>
      </w:pPr>
      <w:r>
        <w:rPr>
          <w:rFonts w:cs="Arial"/>
          <w:sz w:val="22"/>
        </w:rPr>
      </w:r>
    </w:p>
    <w:p>
      <w:pPr>
        <w:pStyle w:val="Normal"/>
        <w:numPr>
          <w:ilvl w:val="0"/>
          <w:numId w:val="18"/>
        </w:numPr>
        <w:tabs>
          <w:tab w:val="clear" w:pos="540"/>
        </w:tabs>
        <w:jc w:val="both"/>
        <w:rPr>
          <w:rFonts w:cs="Arial"/>
          <w:sz w:val="22"/>
        </w:rPr>
      </w:pPr>
      <w:r>
        <w:rPr>
          <w:rFonts w:cs="Arial"/>
          <w:sz w:val="22"/>
        </w:rPr>
        <w:t>Accordingly, opening the market in the Fall of 2001 will give consumers 7 or 8 months to learn – through experience – about the operation of the market prior to the summer of 2002 and to determine, during that period, whether they want to adopt appropriate commercial hedging arrangements.</w:t>
      </w:r>
    </w:p>
    <w:p>
      <w:pPr>
        <w:pStyle w:val="Heading2"/>
        <w:ind w:hanging="2400" w:start="2400" w:end="0"/>
        <w:rPr>
          <w:rFonts w:cs="Arial"/>
          <w:sz w:val="22"/>
        </w:rPr>
      </w:pPr>
      <w:r>
        <w:rPr>
          <w:rFonts w:cs="Arial"/>
          <w:sz w:val="22"/>
        </w:rPr>
      </w:r>
    </w:p>
    <w:p>
      <w:pPr>
        <w:pStyle w:val="Normal"/>
        <w:rPr/>
      </w:pPr>
      <w:r>
        <w:rPr/>
      </w:r>
    </w:p>
    <w:p>
      <w:pPr>
        <w:pStyle w:val="Heading2"/>
        <w:ind w:hanging="2400" w:start="2400" w:end="0"/>
        <w:rPr>
          <w:b w:val="false"/>
          <w:bCs w:val="false"/>
          <w:i w:val="false"/>
          <w:i w:val="false"/>
          <w:iCs w:val="false"/>
        </w:rPr>
      </w:pPr>
      <w:r>
        <w:rPr/>
        <w:t>Guiding Principle 2:  Creating a Strong Business Climate with a Reliable Supply of Electricity</w:t>
      </w:r>
    </w:p>
    <w:p>
      <w:pPr>
        <w:pStyle w:val="Normal"/>
        <w:tabs>
          <w:tab w:val="clear" w:pos="540"/>
        </w:tabs>
        <w:jc w:val="both"/>
        <w:rPr>
          <w:b/>
          <w:bCs/>
          <w:i/>
          <w:i/>
          <w:iCs/>
        </w:rPr>
      </w:pPr>
      <w:r>
        <w:rPr>
          <w:b/>
          <w:bCs/>
          <w:i/>
          <w:iCs/>
        </w:rPr>
      </w:r>
    </w:p>
    <w:p>
      <w:pPr>
        <w:pStyle w:val="Normal"/>
        <w:numPr>
          <w:ilvl w:val="0"/>
          <w:numId w:val="15"/>
        </w:numPr>
        <w:tabs>
          <w:tab w:val="clear" w:pos="540"/>
        </w:tabs>
        <w:jc w:val="both"/>
        <w:rPr>
          <w:rFonts w:cs="Arial"/>
          <w:sz w:val="22"/>
        </w:rPr>
      </w:pPr>
      <w:r>
        <w:rPr>
          <w:rFonts w:cs="Arial"/>
          <w:sz w:val="22"/>
        </w:rPr>
        <w:t>The best way to create a strong business climate with a reliable supply of electricity is to open the Ontario electricity market to competition as soon as possible.</w:t>
      </w:r>
    </w:p>
    <w:p>
      <w:pPr>
        <w:pStyle w:val="Normal"/>
        <w:tabs>
          <w:tab w:val="clear" w:pos="540"/>
        </w:tabs>
        <w:ind w:start="360" w:end="0"/>
        <w:jc w:val="both"/>
        <w:rPr>
          <w:rFonts w:cs="Arial"/>
          <w:sz w:val="22"/>
        </w:rPr>
      </w:pPr>
      <w:r>
        <w:rPr>
          <w:rFonts w:cs="Arial"/>
          <w:sz w:val="22"/>
        </w:rPr>
      </w:r>
    </w:p>
    <w:p>
      <w:pPr>
        <w:pStyle w:val="Normal"/>
        <w:numPr>
          <w:ilvl w:val="0"/>
          <w:numId w:val="15"/>
        </w:numPr>
        <w:tabs>
          <w:tab w:val="clear" w:pos="540"/>
        </w:tabs>
        <w:jc w:val="both"/>
        <w:rPr>
          <w:rFonts w:cs="Arial"/>
          <w:sz w:val="22"/>
        </w:rPr>
      </w:pPr>
      <w:r>
        <w:rPr>
          <w:rFonts w:cs="Arial"/>
          <w:sz w:val="22"/>
        </w:rPr>
        <w:t>Opening the market as soon as possible will strengthen the Ontario business climate in several ways:</w:t>
      </w:r>
    </w:p>
    <w:p>
      <w:pPr>
        <w:pStyle w:val="Normal"/>
        <w:tabs>
          <w:tab w:val="clear" w:pos="540"/>
        </w:tabs>
        <w:jc w:val="both"/>
        <w:rPr>
          <w:rFonts w:cs="Arial"/>
          <w:sz w:val="22"/>
        </w:rPr>
      </w:pPr>
      <w:r>
        <w:rPr>
          <w:rFonts w:cs="Arial"/>
          <w:sz w:val="22"/>
        </w:rPr>
      </w:r>
    </w:p>
    <w:p>
      <w:pPr>
        <w:pStyle w:val="Normal"/>
        <w:numPr>
          <w:ilvl w:val="1"/>
          <w:numId w:val="15"/>
        </w:numPr>
        <w:tabs>
          <w:tab w:val="clear" w:pos="540"/>
        </w:tabs>
        <w:ind w:hanging="360" w:start="1080" w:end="0"/>
        <w:jc w:val="both"/>
        <w:rPr>
          <w:rFonts w:cs="Arial"/>
          <w:i/>
          <w:i/>
          <w:iCs/>
          <w:sz w:val="22"/>
        </w:rPr>
      </w:pPr>
      <w:r>
        <w:rPr>
          <w:rFonts w:cs="Arial"/>
          <w:i/>
          <w:iCs/>
          <w:sz w:val="22"/>
        </w:rPr>
        <w:t>Opening the market as soon as possible will help restore and sustain Ontario’s credibility among those who might otherwise invest in the Province’s electricity market, and, in particular, among those who have already committed significant resources to the market.</w:t>
      </w:r>
    </w:p>
    <w:p>
      <w:pPr>
        <w:pStyle w:val="Normal"/>
        <w:tabs>
          <w:tab w:val="clear" w:pos="540"/>
        </w:tabs>
        <w:ind w:hanging="360" w:start="1080" w:end="0"/>
        <w:jc w:val="both"/>
        <w:rPr>
          <w:rFonts w:cs="Arial"/>
          <w:i/>
          <w:i/>
          <w:iCs/>
          <w:sz w:val="22"/>
        </w:rPr>
      </w:pPr>
      <w:r>
        <w:rPr>
          <w:rFonts w:cs="Arial"/>
          <w:i/>
          <w:iCs/>
          <w:sz w:val="22"/>
        </w:rPr>
      </w:r>
    </w:p>
    <w:p>
      <w:pPr>
        <w:pStyle w:val="Normal"/>
        <w:numPr>
          <w:ilvl w:val="1"/>
          <w:numId w:val="15"/>
        </w:numPr>
        <w:tabs>
          <w:tab w:val="clear" w:pos="540"/>
        </w:tabs>
        <w:ind w:hanging="360" w:start="1080" w:end="0"/>
        <w:jc w:val="both"/>
        <w:rPr>
          <w:rFonts w:cs="Arial"/>
          <w:i/>
          <w:i/>
          <w:iCs/>
          <w:sz w:val="22"/>
        </w:rPr>
      </w:pPr>
      <w:r>
        <w:rPr>
          <w:rFonts w:cs="Arial"/>
          <w:i/>
          <w:iCs/>
          <w:sz w:val="22"/>
        </w:rPr>
        <w:t>Restoring and sustaining credibility in Ontario’s electricity restructuring process is critical to attracting investment capital to the Ontario electricity sector:  The sooner the market opens, the sooner that capital will be committed.</w:t>
      </w:r>
    </w:p>
    <w:p>
      <w:pPr>
        <w:pStyle w:val="Normal"/>
        <w:tabs>
          <w:tab w:val="clear" w:pos="540"/>
        </w:tabs>
        <w:jc w:val="both"/>
        <w:rPr>
          <w:rFonts w:cs="Arial"/>
          <w:i/>
          <w:i/>
          <w:iCs/>
          <w:sz w:val="22"/>
        </w:rPr>
      </w:pPr>
      <w:r>
        <w:rPr>
          <w:rFonts w:cs="Arial"/>
          <w:i/>
          <w:iCs/>
          <w:sz w:val="22"/>
        </w:rPr>
      </w:r>
    </w:p>
    <w:p>
      <w:pPr>
        <w:pStyle w:val="Normal"/>
        <w:numPr>
          <w:ilvl w:val="2"/>
          <w:numId w:val="15"/>
        </w:numPr>
        <w:tabs>
          <w:tab w:val="clear" w:pos="540"/>
        </w:tabs>
        <w:ind w:hanging="360" w:start="1800" w:end="0"/>
        <w:jc w:val="both"/>
        <w:rPr>
          <w:rFonts w:cs="Arial"/>
          <w:i/>
          <w:i/>
          <w:iCs/>
          <w:sz w:val="22"/>
        </w:rPr>
      </w:pPr>
      <w:r>
        <w:rPr>
          <w:rFonts w:cs="Arial"/>
          <w:sz w:val="22"/>
        </w:rPr>
        <w:t>Enron Canada Corp. has proposed the development of the Moore Power Project (“Moore Project”), a peaking power generation facility to be constructed in southwestern Ontario.</w:t>
      </w:r>
    </w:p>
    <w:p>
      <w:pPr>
        <w:pStyle w:val="Normal"/>
        <w:tabs>
          <w:tab w:val="clear" w:pos="540"/>
        </w:tabs>
        <w:ind w:hanging="360" w:start="1800" w:end="0"/>
        <w:jc w:val="both"/>
        <w:rPr>
          <w:rFonts w:cs="Arial"/>
          <w:i/>
          <w:i/>
          <w:iCs/>
          <w:sz w:val="22"/>
        </w:rPr>
      </w:pPr>
      <w:r>
        <w:rPr>
          <w:rFonts w:cs="Arial"/>
          <w:i/>
          <w:iCs/>
          <w:sz w:val="22"/>
        </w:rPr>
      </w:r>
    </w:p>
    <w:p>
      <w:pPr>
        <w:pStyle w:val="Normal"/>
        <w:numPr>
          <w:ilvl w:val="2"/>
          <w:numId w:val="15"/>
        </w:numPr>
        <w:tabs>
          <w:tab w:val="clear" w:pos="540"/>
        </w:tabs>
        <w:ind w:hanging="360" w:start="1800" w:end="0"/>
        <w:jc w:val="both"/>
        <w:rPr>
          <w:rFonts w:cs="Arial"/>
          <w:i/>
          <w:i/>
          <w:iCs/>
          <w:sz w:val="22"/>
        </w:rPr>
      </w:pPr>
      <w:r>
        <w:rPr>
          <w:rFonts w:cs="Arial"/>
          <w:sz w:val="22"/>
        </w:rPr>
        <w:t>The project is currently on hold pending the resolution of an Ontario market-opening date.</w:t>
      </w:r>
    </w:p>
    <w:p>
      <w:pPr>
        <w:pStyle w:val="Normal"/>
        <w:tabs>
          <w:tab w:val="clear" w:pos="540"/>
        </w:tabs>
        <w:ind w:hanging="360" w:start="1800" w:end="0"/>
        <w:jc w:val="both"/>
        <w:rPr>
          <w:rFonts w:cs="Arial"/>
          <w:i/>
          <w:i/>
          <w:iCs/>
          <w:sz w:val="22"/>
        </w:rPr>
      </w:pPr>
      <w:r>
        <w:rPr>
          <w:rFonts w:cs="Arial"/>
          <w:i/>
          <w:iCs/>
          <w:sz w:val="22"/>
        </w:rPr>
      </w:r>
    </w:p>
    <w:p>
      <w:pPr>
        <w:pStyle w:val="Normal"/>
        <w:numPr>
          <w:ilvl w:val="2"/>
          <w:numId w:val="15"/>
        </w:numPr>
        <w:tabs>
          <w:tab w:val="clear" w:pos="540"/>
        </w:tabs>
        <w:ind w:hanging="360" w:start="1800" w:end="0"/>
        <w:jc w:val="both"/>
        <w:rPr>
          <w:rFonts w:cs="Arial"/>
          <w:i/>
          <w:i/>
          <w:iCs/>
          <w:sz w:val="22"/>
        </w:rPr>
      </w:pPr>
      <w:r>
        <w:rPr>
          <w:rFonts w:cs="Arial"/>
          <w:sz w:val="22"/>
        </w:rPr>
        <w:t>The Moore Project is a 166 MW simple cycle natural gas fired merchant plant, sized for expansion to 470 MW simple cycle with interconnections into both Ontario and Michigan.</w:t>
      </w:r>
    </w:p>
    <w:p>
      <w:pPr>
        <w:pStyle w:val="Normal"/>
        <w:tabs>
          <w:tab w:val="clear" w:pos="540"/>
        </w:tabs>
        <w:ind w:hanging="360" w:start="1800" w:end="0"/>
        <w:jc w:val="both"/>
        <w:rPr>
          <w:rFonts w:cs="Arial"/>
          <w:i/>
          <w:i/>
          <w:iCs/>
          <w:sz w:val="22"/>
        </w:rPr>
      </w:pPr>
      <w:r>
        <w:rPr>
          <w:rFonts w:cs="Arial"/>
          <w:i/>
          <w:iCs/>
          <w:sz w:val="22"/>
        </w:rPr>
      </w:r>
    </w:p>
    <w:p>
      <w:pPr>
        <w:pStyle w:val="Normal"/>
        <w:numPr>
          <w:ilvl w:val="2"/>
          <w:numId w:val="15"/>
        </w:numPr>
        <w:tabs>
          <w:tab w:val="clear" w:pos="540"/>
        </w:tabs>
        <w:ind w:hanging="360" w:start="1800" w:end="0"/>
        <w:jc w:val="both"/>
        <w:rPr>
          <w:rFonts w:cs="Arial"/>
          <w:i/>
          <w:i/>
          <w:iCs/>
          <w:sz w:val="22"/>
        </w:rPr>
      </w:pPr>
      <w:r>
        <w:rPr>
          <w:rFonts w:cs="Arial"/>
          <w:sz w:val="22"/>
        </w:rPr>
        <w:t>The plant has further potential for future conversion to combined cycle operation.</w:t>
      </w:r>
    </w:p>
    <w:p>
      <w:pPr>
        <w:pStyle w:val="Normal"/>
        <w:tabs>
          <w:tab w:val="clear" w:pos="540"/>
        </w:tabs>
        <w:ind w:hanging="360" w:start="1800" w:end="0"/>
        <w:jc w:val="both"/>
        <w:rPr>
          <w:rFonts w:cs="Arial"/>
          <w:i/>
          <w:i/>
          <w:iCs/>
          <w:sz w:val="22"/>
        </w:rPr>
      </w:pPr>
      <w:r>
        <w:rPr>
          <w:rFonts w:cs="Arial"/>
          <w:i/>
          <w:iCs/>
          <w:sz w:val="22"/>
        </w:rPr>
      </w:r>
    </w:p>
    <w:p>
      <w:pPr>
        <w:pStyle w:val="Normal"/>
        <w:numPr>
          <w:ilvl w:val="2"/>
          <w:numId w:val="15"/>
        </w:numPr>
        <w:tabs>
          <w:tab w:val="clear" w:pos="540"/>
        </w:tabs>
        <w:ind w:hanging="360" w:start="1800" w:end="0"/>
        <w:jc w:val="both"/>
        <w:rPr>
          <w:rFonts w:cs="Arial"/>
          <w:i/>
          <w:i/>
          <w:iCs/>
          <w:sz w:val="22"/>
        </w:rPr>
      </w:pPr>
      <w:r>
        <w:rPr>
          <w:rFonts w:cs="Arial"/>
          <w:sz w:val="22"/>
        </w:rPr>
        <w:t>The Moore Project will be constructed south of Sarnia, Ontario.</w:t>
      </w:r>
    </w:p>
    <w:p>
      <w:pPr>
        <w:pStyle w:val="Normal"/>
        <w:tabs>
          <w:tab w:val="clear" w:pos="540"/>
        </w:tabs>
        <w:ind w:hanging="360" w:start="1800" w:end="0"/>
        <w:jc w:val="both"/>
        <w:rPr>
          <w:rFonts w:cs="Arial"/>
          <w:i/>
          <w:i/>
          <w:iCs/>
          <w:sz w:val="22"/>
        </w:rPr>
      </w:pPr>
      <w:r>
        <w:rPr>
          <w:rFonts w:cs="Arial"/>
          <w:i/>
          <w:iCs/>
          <w:sz w:val="22"/>
        </w:rPr>
      </w:r>
    </w:p>
    <w:p>
      <w:pPr>
        <w:pStyle w:val="Normal"/>
        <w:numPr>
          <w:ilvl w:val="2"/>
          <w:numId w:val="15"/>
        </w:numPr>
        <w:tabs>
          <w:tab w:val="clear" w:pos="540"/>
        </w:tabs>
        <w:ind w:hanging="360" w:start="1800" w:end="0"/>
        <w:jc w:val="both"/>
        <w:rPr>
          <w:rFonts w:cs="Arial"/>
          <w:i/>
          <w:i/>
          <w:iCs/>
          <w:sz w:val="22"/>
        </w:rPr>
      </w:pPr>
      <w:r>
        <w:rPr>
          <w:rFonts w:cs="Arial"/>
          <w:sz w:val="22"/>
        </w:rPr>
        <w:t>The plant will initially have a 200 MW interconnect to the Ontario 230 kV grid and a 470 MW interconnect to the Michigan 120 kV grid.</w:t>
      </w:r>
      <w:r>
        <w:br w:type="page"/>
      </w:r>
    </w:p>
    <w:p>
      <w:pPr>
        <w:pStyle w:val="Normal"/>
        <w:tabs>
          <w:tab w:val="clear" w:pos="540"/>
        </w:tabs>
        <w:ind w:hanging="360" w:start="1800" w:end="0"/>
        <w:jc w:val="both"/>
        <w:rPr>
          <w:rFonts w:cs="Arial"/>
          <w:i/>
          <w:i/>
          <w:iCs/>
          <w:sz w:val="22"/>
        </w:rPr>
      </w:pPr>
      <w:r>
        <w:rPr>
          <w:rFonts w:cs="Arial"/>
          <w:i/>
          <w:iCs/>
          <w:sz w:val="22"/>
        </w:rPr>
      </w:r>
    </w:p>
    <w:p>
      <w:pPr>
        <w:pStyle w:val="Normal"/>
        <w:numPr>
          <w:ilvl w:val="2"/>
          <w:numId w:val="15"/>
        </w:numPr>
        <w:tabs>
          <w:tab w:val="clear" w:pos="540"/>
        </w:tabs>
        <w:ind w:hanging="360" w:start="1800" w:end="0"/>
        <w:jc w:val="both"/>
        <w:rPr>
          <w:rFonts w:cs="Arial"/>
          <w:i/>
          <w:i/>
          <w:iCs/>
          <w:sz w:val="22"/>
        </w:rPr>
      </w:pPr>
      <w:r>
        <w:rPr>
          <w:rFonts w:cs="Arial"/>
          <w:sz w:val="22"/>
        </w:rPr>
        <w:t>The plant (both phases) will represent an aggregate investment of approximately CDN $200 – 250 million.</w:t>
      </w:r>
    </w:p>
    <w:p>
      <w:pPr>
        <w:pStyle w:val="Normal"/>
        <w:tabs>
          <w:tab w:val="clear" w:pos="540"/>
        </w:tabs>
        <w:ind w:hanging="360" w:start="1800" w:end="0"/>
        <w:jc w:val="both"/>
        <w:rPr>
          <w:rFonts w:cs="Arial"/>
          <w:i/>
          <w:i/>
          <w:iCs/>
          <w:sz w:val="22"/>
        </w:rPr>
      </w:pPr>
      <w:r>
        <w:rPr>
          <w:rFonts w:cs="Arial"/>
          <w:i/>
          <w:iCs/>
          <w:sz w:val="22"/>
        </w:rPr>
      </w:r>
    </w:p>
    <w:p>
      <w:pPr>
        <w:pStyle w:val="Normal"/>
        <w:numPr>
          <w:ilvl w:val="2"/>
          <w:numId w:val="15"/>
        </w:numPr>
        <w:tabs>
          <w:tab w:val="clear" w:pos="540"/>
        </w:tabs>
        <w:ind w:hanging="360" w:start="1800" w:end="0"/>
        <w:jc w:val="both"/>
        <w:rPr>
          <w:rFonts w:cs="Arial"/>
          <w:i/>
          <w:i/>
          <w:iCs/>
          <w:sz w:val="22"/>
        </w:rPr>
      </w:pPr>
      <w:r>
        <w:rPr>
          <w:rFonts w:cs="Arial"/>
          <w:sz w:val="22"/>
        </w:rPr>
        <w:t>If the market opening is put off to the Spring, the project will have to be reassessed from an investment standpoint against other opportunities Enron has on its plate (</w:t>
      </w:r>
      <w:r>
        <w:rPr>
          <w:rFonts w:cs="Arial"/>
          <w:sz w:val="22"/>
          <w:u w:val="single"/>
        </w:rPr>
        <w:t>per</w:t>
      </w:r>
      <w:r>
        <w:rPr>
          <w:rFonts w:cs="Arial"/>
          <w:sz w:val="22"/>
        </w:rPr>
        <w:t xml:space="preserve"> Milnthorp, </w:t>
      </w:r>
      <w:r>
        <w:rPr>
          <w:rFonts w:cs="Arial"/>
          <w:sz w:val="22"/>
          <w:u w:val="single"/>
        </w:rPr>
        <w:t>Reuters</w:t>
      </w:r>
      <w:r>
        <w:rPr>
          <w:rFonts w:cs="Arial"/>
          <w:sz w:val="22"/>
        </w:rPr>
        <w:t>, June 1, 2001).</w:t>
      </w:r>
    </w:p>
    <w:p>
      <w:pPr>
        <w:pStyle w:val="Normal"/>
        <w:tabs>
          <w:tab w:val="clear" w:pos="540"/>
        </w:tabs>
        <w:ind w:hanging="720" w:start="1440" w:end="0"/>
        <w:jc w:val="both"/>
        <w:rPr>
          <w:rFonts w:cs="Arial"/>
          <w:i/>
          <w:i/>
          <w:iCs/>
          <w:sz w:val="22"/>
        </w:rPr>
      </w:pPr>
      <w:r>
        <w:rPr>
          <w:rFonts w:cs="Arial"/>
          <w:i/>
          <w:iCs/>
          <w:sz w:val="22"/>
        </w:rPr>
        <w:tab/>
      </w:r>
    </w:p>
    <w:p>
      <w:pPr>
        <w:pStyle w:val="Normal"/>
        <w:numPr>
          <w:ilvl w:val="0"/>
          <w:numId w:val="20"/>
        </w:numPr>
        <w:tabs>
          <w:tab w:val="clear" w:pos="540"/>
        </w:tabs>
        <w:jc w:val="both"/>
        <w:rPr>
          <w:rFonts w:cs="Arial"/>
          <w:sz w:val="22"/>
        </w:rPr>
      </w:pPr>
      <w:r>
        <w:rPr>
          <w:rFonts w:cs="Arial"/>
          <w:sz w:val="22"/>
        </w:rPr>
        <w:t>Opening the Ontario electricity market as soon as possible will enhance the stability and security of Ontario’s electricity supply:</w:t>
      </w:r>
    </w:p>
    <w:p>
      <w:pPr>
        <w:pStyle w:val="Normal"/>
        <w:tabs>
          <w:tab w:val="clear" w:pos="540"/>
        </w:tabs>
        <w:ind w:start="360" w:end="0"/>
        <w:jc w:val="both"/>
        <w:rPr>
          <w:rFonts w:cs="Arial"/>
          <w:sz w:val="22"/>
        </w:rPr>
      </w:pPr>
      <w:r>
        <w:rPr>
          <w:rFonts w:cs="Arial"/>
          <w:sz w:val="22"/>
        </w:rPr>
      </w:r>
    </w:p>
    <w:p>
      <w:pPr>
        <w:pStyle w:val="Normal"/>
        <w:numPr>
          <w:ilvl w:val="1"/>
          <w:numId w:val="20"/>
        </w:numPr>
        <w:tabs>
          <w:tab w:val="clear" w:pos="540"/>
        </w:tabs>
        <w:ind w:hanging="360" w:start="1080" w:end="0"/>
        <w:jc w:val="both"/>
        <w:rPr>
          <w:rFonts w:cs="Arial"/>
          <w:i/>
          <w:i/>
          <w:iCs/>
          <w:sz w:val="22"/>
        </w:rPr>
      </w:pPr>
      <w:r>
        <w:rPr>
          <w:rFonts w:cs="Arial"/>
          <w:i/>
          <w:iCs/>
          <w:sz w:val="22"/>
        </w:rPr>
        <w:t>Opening the market as soon as possible will foster investment in new generation in the Province, particularly in facilities that are smaller and more flexible than the nuclear units on which Ontario now relies so heavily.  Such investment will enhance the reliability of Ontario’s system.</w:t>
      </w:r>
    </w:p>
    <w:p>
      <w:pPr>
        <w:pStyle w:val="Normal"/>
        <w:tabs>
          <w:tab w:val="clear" w:pos="540"/>
        </w:tabs>
        <w:ind w:hanging="360" w:start="1080" w:end="0"/>
        <w:jc w:val="both"/>
        <w:rPr>
          <w:rFonts w:cs="Arial"/>
          <w:i/>
          <w:i/>
          <w:iCs/>
          <w:sz w:val="22"/>
        </w:rPr>
      </w:pPr>
      <w:r>
        <w:rPr>
          <w:rFonts w:cs="Arial"/>
          <w:i/>
          <w:iCs/>
          <w:sz w:val="22"/>
        </w:rPr>
      </w:r>
    </w:p>
    <w:p>
      <w:pPr>
        <w:pStyle w:val="Normal"/>
        <w:numPr>
          <w:ilvl w:val="1"/>
          <w:numId w:val="20"/>
        </w:numPr>
        <w:tabs>
          <w:tab w:val="clear" w:pos="540"/>
        </w:tabs>
        <w:ind w:hanging="360" w:start="1080" w:end="0"/>
        <w:jc w:val="both"/>
        <w:rPr>
          <w:rFonts w:cs="Arial"/>
          <w:i/>
          <w:i/>
          <w:iCs/>
          <w:sz w:val="22"/>
        </w:rPr>
      </w:pPr>
      <w:r>
        <w:rPr>
          <w:rFonts w:cs="Arial"/>
          <w:i/>
          <w:iCs/>
          <w:sz w:val="22"/>
        </w:rPr>
        <w:t>Opening the market as soon as possible will give Ontario consumers more reliable access to the growing generation capacity in the connected U.S. markets.  Those interconnections give Ontario consumers a valuable hedge or insurance policy, since Ontario’s demand peaks in the winter months, whereas demand in the connected U.S. markets peaks in the summer months.</w:t>
      </w:r>
    </w:p>
    <w:p>
      <w:pPr>
        <w:pStyle w:val="Normal"/>
        <w:tabs>
          <w:tab w:val="clear" w:pos="540"/>
        </w:tabs>
        <w:ind w:hanging="360" w:start="1080" w:end="0"/>
        <w:jc w:val="both"/>
        <w:rPr>
          <w:rFonts w:cs="Arial"/>
          <w:i/>
          <w:i/>
          <w:iCs/>
          <w:sz w:val="22"/>
        </w:rPr>
      </w:pPr>
      <w:r>
        <w:rPr>
          <w:rFonts w:cs="Arial"/>
          <w:i/>
          <w:iCs/>
          <w:sz w:val="22"/>
        </w:rPr>
      </w:r>
    </w:p>
    <w:p>
      <w:pPr>
        <w:pStyle w:val="Normal"/>
        <w:numPr>
          <w:ilvl w:val="1"/>
          <w:numId w:val="20"/>
        </w:numPr>
        <w:tabs>
          <w:tab w:val="clear" w:pos="540"/>
        </w:tabs>
        <w:ind w:hanging="360" w:start="1080" w:end="0"/>
        <w:jc w:val="both"/>
        <w:rPr>
          <w:rFonts w:cs="Arial"/>
          <w:sz w:val="22"/>
        </w:rPr>
      </w:pPr>
      <w:r>
        <w:rPr>
          <w:rFonts w:cs="Arial"/>
          <w:i/>
          <w:iCs/>
          <w:sz w:val="22"/>
        </w:rPr>
        <w:t>Prices in the Eastern Interconnect will decline as substantial new generation facilities are built throughout the region and as fuel costs decline.  The best way for Ontario to reap the benefits of this trend is to establish an open market as soon as possible.</w:t>
      </w:r>
    </w:p>
    <w:p>
      <w:pPr>
        <w:pStyle w:val="Normal"/>
        <w:tabs>
          <w:tab w:val="clear" w:pos="540"/>
        </w:tabs>
        <w:jc w:val="both"/>
        <w:rPr>
          <w:rFonts w:cs="Arial"/>
          <w:sz w:val="22"/>
        </w:rPr>
      </w:pPr>
      <w:r>
        <w:rPr>
          <w:rFonts w:cs="Arial"/>
          <w:sz w:val="22"/>
        </w:rPr>
      </w:r>
    </w:p>
    <w:p>
      <w:pPr>
        <w:pStyle w:val="Normal"/>
        <w:numPr>
          <w:ilvl w:val="2"/>
          <w:numId w:val="20"/>
        </w:numPr>
        <w:tabs>
          <w:tab w:val="clear" w:pos="540"/>
        </w:tabs>
        <w:ind w:hanging="360" w:start="1800" w:end="0"/>
        <w:jc w:val="both"/>
        <w:rPr>
          <w:rFonts w:cs="Arial"/>
          <w:sz w:val="22"/>
        </w:rPr>
      </w:pPr>
      <w:r>
        <w:rPr>
          <w:rFonts w:cs="Arial"/>
          <w:i/>
          <w:iCs/>
          <w:sz w:val="22"/>
        </w:rPr>
        <w:t>PIRA estimates that capacity additions for the East U.S. by Summer 2001 are about 30,000 MW year over year.</w:t>
      </w:r>
    </w:p>
    <w:p>
      <w:pPr>
        <w:pStyle w:val="Normal"/>
        <w:tabs>
          <w:tab w:val="clear" w:pos="540"/>
        </w:tabs>
        <w:ind w:hanging="360" w:start="1800" w:end="0"/>
        <w:jc w:val="both"/>
        <w:rPr>
          <w:rFonts w:cs="Arial"/>
          <w:sz w:val="22"/>
        </w:rPr>
      </w:pPr>
      <w:r>
        <w:rPr>
          <w:rFonts w:cs="Arial"/>
          <w:sz w:val="22"/>
        </w:rPr>
      </w:r>
    </w:p>
    <w:p>
      <w:pPr>
        <w:pStyle w:val="Normal"/>
        <w:numPr>
          <w:ilvl w:val="2"/>
          <w:numId w:val="20"/>
        </w:numPr>
        <w:tabs>
          <w:tab w:val="clear" w:pos="540"/>
        </w:tabs>
        <w:ind w:hanging="360" w:start="1800" w:end="0"/>
        <w:jc w:val="both"/>
        <w:rPr>
          <w:rFonts w:cs="Arial"/>
          <w:sz w:val="22"/>
        </w:rPr>
      </w:pPr>
      <w:r>
        <w:rPr>
          <w:rFonts w:cs="Arial"/>
          <w:i/>
          <w:iCs/>
          <w:sz w:val="22"/>
        </w:rPr>
        <w:t>PIRA also notes that forward power prices are weakening due to lower gas prices and changing perceptions about the adequacy of generation capacity.</w:t>
      </w:r>
    </w:p>
    <w:p>
      <w:pPr>
        <w:pStyle w:val="Normal"/>
        <w:tabs>
          <w:tab w:val="clear" w:pos="540"/>
        </w:tabs>
        <w:jc w:val="both"/>
        <w:rPr>
          <w:rFonts w:cs="Arial"/>
          <w:sz w:val="22"/>
        </w:rPr>
      </w:pPr>
      <w:r>
        <w:rPr>
          <w:rFonts w:cs="Arial"/>
          <w:sz w:val="22"/>
        </w:rPr>
      </w:r>
    </w:p>
    <w:p>
      <w:pPr>
        <w:pStyle w:val="Heading2"/>
        <w:ind w:hanging="0" w:start="0"/>
        <w:rPr>
          <w:rFonts w:cs="Arial"/>
          <w:sz w:val="22"/>
        </w:rPr>
      </w:pPr>
      <w:r>
        <w:rPr>
          <w:rFonts w:cs="Arial"/>
          <w:sz w:val="22"/>
        </w:rPr>
      </w:r>
    </w:p>
    <w:p>
      <w:pPr>
        <w:pStyle w:val="Heading2"/>
        <w:ind w:hanging="0" w:start="0"/>
        <w:rPr/>
      </w:pPr>
      <w:r>
        <w:rPr/>
        <w:t>Guiding Principle 3:  Protecting the Environment</w:t>
      </w:r>
    </w:p>
    <w:p>
      <w:pPr>
        <w:pStyle w:val="Normal"/>
        <w:tabs>
          <w:tab w:val="clear" w:pos="540"/>
        </w:tabs>
        <w:jc w:val="both"/>
        <w:rPr>
          <w:rFonts w:cs="Arial"/>
          <w:sz w:val="22"/>
        </w:rPr>
      </w:pPr>
      <w:r>
        <w:rPr>
          <w:rFonts w:cs="Arial"/>
          <w:sz w:val="22"/>
        </w:rPr>
      </w:r>
    </w:p>
    <w:p>
      <w:pPr>
        <w:pStyle w:val="Normal"/>
        <w:numPr>
          <w:ilvl w:val="0"/>
          <w:numId w:val="11"/>
        </w:numPr>
        <w:tabs>
          <w:tab w:val="clear" w:pos="540"/>
        </w:tabs>
        <w:jc w:val="both"/>
        <w:rPr>
          <w:rFonts w:cs="Arial"/>
          <w:sz w:val="22"/>
        </w:rPr>
      </w:pPr>
      <w:r>
        <w:rPr>
          <w:rFonts w:cs="Arial"/>
          <w:sz w:val="22"/>
        </w:rPr>
        <w:t>The Ministry of the Environment has already taken or announced significant measures to protect the environment and, in particular, Ontario’s air quality.</w:t>
      </w:r>
    </w:p>
    <w:p>
      <w:pPr>
        <w:pStyle w:val="Normal"/>
        <w:tabs>
          <w:tab w:val="clear" w:pos="540"/>
        </w:tabs>
        <w:ind w:start="360" w:end="0"/>
        <w:jc w:val="both"/>
        <w:rPr>
          <w:rFonts w:cs="Arial"/>
          <w:sz w:val="22"/>
        </w:rPr>
      </w:pPr>
      <w:r>
        <w:rPr>
          <w:rFonts w:cs="Arial"/>
          <w:sz w:val="22"/>
        </w:rPr>
      </w:r>
    </w:p>
    <w:p>
      <w:pPr>
        <w:pStyle w:val="Normal"/>
        <w:numPr>
          <w:ilvl w:val="0"/>
          <w:numId w:val="11"/>
        </w:numPr>
        <w:tabs>
          <w:tab w:val="clear" w:pos="540"/>
        </w:tabs>
        <w:jc w:val="both"/>
        <w:rPr>
          <w:rFonts w:cs="Arial"/>
          <w:sz w:val="22"/>
        </w:rPr>
      </w:pPr>
      <w:r>
        <w:rPr>
          <w:rFonts w:cs="Arial"/>
          <w:sz w:val="22"/>
        </w:rPr>
        <w:t>Those measures include:</w:t>
      </w:r>
    </w:p>
    <w:p>
      <w:pPr>
        <w:pStyle w:val="Normal"/>
        <w:tabs>
          <w:tab w:val="clear" w:pos="540"/>
        </w:tabs>
        <w:jc w:val="both"/>
        <w:rPr>
          <w:rFonts w:cs="Arial"/>
          <w:sz w:val="22"/>
        </w:rPr>
      </w:pPr>
      <w:r>
        <w:rPr>
          <w:rFonts w:cs="Arial"/>
          <w:sz w:val="22"/>
        </w:rPr>
      </w:r>
    </w:p>
    <w:p>
      <w:pPr>
        <w:pStyle w:val="Normal"/>
        <w:numPr>
          <w:ilvl w:val="1"/>
          <w:numId w:val="11"/>
        </w:numPr>
        <w:tabs>
          <w:tab w:val="clear" w:pos="540"/>
        </w:tabs>
        <w:ind w:hanging="360" w:start="1080" w:end="0"/>
        <w:jc w:val="both"/>
        <w:rPr>
          <w:rFonts w:cs="Arial"/>
          <w:i/>
          <w:i/>
          <w:iCs/>
          <w:sz w:val="22"/>
        </w:rPr>
      </w:pPr>
      <w:r>
        <w:rPr>
          <w:rFonts w:cs="Arial"/>
          <w:i/>
          <w:iCs/>
          <w:sz w:val="22"/>
        </w:rPr>
        <w:t>Stringent sector caps on emissions of nitrogen oxides and sulphur dioxide;</w:t>
      </w:r>
    </w:p>
    <w:p>
      <w:pPr>
        <w:pStyle w:val="Normal"/>
        <w:tabs>
          <w:tab w:val="clear" w:pos="540"/>
        </w:tabs>
        <w:ind w:hanging="360" w:start="1080" w:end="0"/>
        <w:jc w:val="both"/>
        <w:rPr>
          <w:rFonts w:cs="Arial"/>
          <w:i/>
          <w:i/>
          <w:iCs/>
          <w:sz w:val="22"/>
        </w:rPr>
      </w:pPr>
      <w:r>
        <w:rPr>
          <w:rFonts w:cs="Arial"/>
          <w:i/>
          <w:iCs/>
          <w:sz w:val="22"/>
        </w:rPr>
      </w:r>
    </w:p>
    <w:p>
      <w:pPr>
        <w:pStyle w:val="Normal"/>
        <w:numPr>
          <w:ilvl w:val="1"/>
          <w:numId w:val="11"/>
        </w:numPr>
        <w:tabs>
          <w:tab w:val="clear" w:pos="540"/>
        </w:tabs>
        <w:ind w:hanging="360" w:start="1080" w:end="0"/>
        <w:jc w:val="both"/>
        <w:rPr>
          <w:rFonts w:cs="Arial"/>
          <w:i/>
          <w:i/>
          <w:iCs/>
          <w:sz w:val="22"/>
        </w:rPr>
      </w:pPr>
      <w:r>
        <w:rPr>
          <w:rFonts w:cs="Arial"/>
          <w:i/>
          <w:iCs/>
          <w:sz w:val="22"/>
        </w:rPr>
        <w:t>A requirement that OPG’s Lakeview station stop burning coal by April 30, 2005 and, in the meantime, operate under a station-specific nitrogen oxides emissions cap;</w:t>
      </w:r>
    </w:p>
    <w:p>
      <w:pPr>
        <w:pStyle w:val="Normal"/>
        <w:tabs>
          <w:tab w:val="clear" w:pos="540"/>
        </w:tabs>
        <w:ind w:hanging="360" w:start="1080" w:end="0"/>
        <w:jc w:val="both"/>
        <w:rPr>
          <w:rFonts w:cs="Arial"/>
          <w:i/>
          <w:i/>
          <w:iCs/>
          <w:sz w:val="22"/>
        </w:rPr>
      </w:pPr>
      <w:r>
        <w:rPr>
          <w:rFonts w:cs="Arial"/>
          <w:i/>
          <w:iCs/>
          <w:sz w:val="22"/>
        </w:rPr>
      </w:r>
    </w:p>
    <w:p>
      <w:pPr>
        <w:pStyle w:val="Normal"/>
        <w:numPr>
          <w:ilvl w:val="1"/>
          <w:numId w:val="11"/>
        </w:numPr>
        <w:tabs>
          <w:tab w:val="clear" w:pos="540"/>
        </w:tabs>
        <w:ind w:hanging="360" w:start="1080" w:end="0"/>
        <w:jc w:val="both"/>
        <w:rPr>
          <w:rFonts w:cs="Arial"/>
          <w:i/>
          <w:i/>
          <w:iCs/>
          <w:sz w:val="22"/>
        </w:rPr>
      </w:pPr>
      <w:r>
        <w:rPr>
          <w:rFonts w:cs="Arial"/>
          <w:i/>
          <w:iCs/>
          <w:sz w:val="22"/>
        </w:rPr>
        <w:t>The initiation of an emissions reduction trading program; and</w:t>
      </w:r>
    </w:p>
    <w:p>
      <w:pPr>
        <w:pStyle w:val="Normal"/>
        <w:tabs>
          <w:tab w:val="clear" w:pos="540"/>
        </w:tabs>
        <w:ind w:hanging="360" w:start="1080" w:end="0"/>
        <w:jc w:val="both"/>
        <w:rPr>
          <w:rFonts w:cs="Arial"/>
          <w:i/>
          <w:i/>
          <w:iCs/>
          <w:sz w:val="22"/>
        </w:rPr>
      </w:pPr>
      <w:r>
        <w:rPr>
          <w:rFonts w:cs="Arial"/>
          <w:i/>
          <w:iCs/>
          <w:sz w:val="22"/>
        </w:rPr>
      </w:r>
    </w:p>
    <w:p>
      <w:pPr>
        <w:pStyle w:val="Normal"/>
        <w:numPr>
          <w:ilvl w:val="1"/>
          <w:numId w:val="11"/>
        </w:numPr>
        <w:tabs>
          <w:tab w:val="clear" w:pos="540"/>
        </w:tabs>
        <w:ind w:hanging="360" w:start="1080" w:end="0"/>
        <w:jc w:val="both"/>
        <w:rPr>
          <w:rFonts w:cs="Arial"/>
          <w:sz w:val="22"/>
        </w:rPr>
      </w:pPr>
      <w:r>
        <w:rPr>
          <w:rFonts w:cs="Arial"/>
          <w:i/>
          <w:iCs/>
          <w:sz w:val="22"/>
        </w:rPr>
        <w:t>The modification of the environmental assessment requirements to ensure that those requirements:  a) apply in an even-handed manner to public and private sector projects; and b) distinguish, in an appropriate fashion, among project categories according to the degree of environmental impact.</w:t>
      </w:r>
    </w:p>
    <w:p>
      <w:pPr>
        <w:pStyle w:val="Normal"/>
        <w:tabs>
          <w:tab w:val="clear" w:pos="540"/>
        </w:tabs>
        <w:jc w:val="both"/>
        <w:rPr>
          <w:rFonts w:cs="Arial"/>
          <w:sz w:val="22"/>
        </w:rPr>
      </w:pPr>
      <w:r>
        <w:rPr>
          <w:rFonts w:cs="Arial"/>
          <w:sz w:val="22"/>
        </w:rPr>
      </w:r>
    </w:p>
    <w:p>
      <w:pPr>
        <w:pStyle w:val="Normal"/>
        <w:numPr>
          <w:ilvl w:val="1"/>
          <w:numId w:val="21"/>
        </w:numPr>
        <w:tabs>
          <w:tab w:val="clear" w:pos="540"/>
        </w:tabs>
        <w:ind w:hanging="360" w:start="720" w:end="0"/>
        <w:jc w:val="both"/>
        <w:rPr>
          <w:rFonts w:cs="Arial"/>
          <w:sz w:val="22"/>
        </w:rPr>
      </w:pPr>
      <w:r>
        <w:rPr>
          <w:rFonts w:cs="Arial"/>
          <w:sz w:val="22"/>
        </w:rPr>
        <w:t>The opening of the Ontario market will have a benign – indeed positive – impact on the environment.  In an open Ontario market with real time spot pricing, consumers will have a strong incentive to adopt demand-management measures designed to reduce electricity consumption.  The adoption of these measures will, everything else being equal, reduce demand and, in turn, reduce the emissions associated with electricity production.</w:t>
      </w:r>
    </w:p>
    <w:p>
      <w:pPr>
        <w:pStyle w:val="Normal"/>
        <w:tabs>
          <w:tab w:val="clear" w:pos="540"/>
        </w:tabs>
        <w:jc w:val="both"/>
        <w:rPr>
          <w:rFonts w:cs="Arial"/>
          <w:sz w:val="22"/>
        </w:rPr>
      </w:pPr>
      <w:r>
        <w:rPr>
          <w:rFonts w:cs="Arial"/>
          <w:sz w:val="22"/>
        </w:rPr>
      </w:r>
    </w:p>
    <w:p>
      <w:pPr>
        <w:pStyle w:val="Normal"/>
        <w:tabs>
          <w:tab w:val="clear" w:pos="540"/>
        </w:tabs>
        <w:jc w:val="both"/>
        <w:rPr>
          <w:rFonts w:cs="Arial"/>
          <w:sz w:val="22"/>
        </w:rPr>
      </w:pPr>
      <w:r>
        <w:rPr>
          <w:rFonts w:cs="Arial"/>
          <w:sz w:val="22"/>
        </w:rPr>
      </w:r>
    </w:p>
    <w:p>
      <w:pPr>
        <w:pStyle w:val="BodyText"/>
        <w:ind w:hanging="2280" w:start="2640" w:end="0"/>
        <w:rPr>
          <w:b w:val="false"/>
          <w:bCs w:val="false"/>
          <w:i w:val="false"/>
          <w:i w:val="false"/>
          <w:iCs w:val="false"/>
        </w:rPr>
      </w:pPr>
      <w:r>
        <w:rPr/>
        <w:t>Guiding Principle 4:  Encouraging New Ways of Doing Business and Supporting the Search for Alternative Sources of Power</w:t>
      </w:r>
    </w:p>
    <w:p>
      <w:pPr>
        <w:pStyle w:val="BodyText"/>
        <w:ind w:hanging="2280" w:start="2640" w:end="0"/>
        <w:rPr>
          <w:b w:val="false"/>
          <w:bCs w:val="false"/>
          <w:i w:val="false"/>
          <w:i w:val="false"/>
          <w:iCs w:val="false"/>
        </w:rPr>
      </w:pPr>
      <w:r>
        <w:rPr>
          <w:b w:val="false"/>
          <w:bCs w:val="false"/>
          <w:i w:val="false"/>
          <w:iCs w:val="false"/>
        </w:rPr>
      </w:r>
    </w:p>
    <w:p>
      <w:pPr>
        <w:pStyle w:val="BodyText"/>
        <w:numPr>
          <w:ilvl w:val="0"/>
          <w:numId w:val="5"/>
        </w:numPr>
        <w:ind w:hanging="360" w:start="720" w:end="0"/>
        <w:rPr>
          <w:b w:val="false"/>
          <w:bCs w:val="false"/>
          <w:i w:val="false"/>
          <w:i w:val="false"/>
          <w:iCs w:val="false"/>
        </w:rPr>
      </w:pPr>
      <w:r>
        <w:rPr>
          <w:b w:val="false"/>
          <w:bCs w:val="false"/>
          <w:i w:val="false"/>
          <w:iCs w:val="false"/>
        </w:rPr>
        <w:t>The prospect of opening the Ontario electricity market to competition has already encouraged and will continue to encourage new ways of doing business in the Ontario electricity sector.  For instance:</w:t>
      </w:r>
    </w:p>
    <w:p>
      <w:pPr>
        <w:pStyle w:val="BodyText"/>
        <w:ind w:start="360" w:end="0"/>
        <w:rPr>
          <w:b w:val="false"/>
          <w:bCs w:val="false"/>
          <w:i w:val="false"/>
          <w:i w:val="false"/>
          <w:iCs w:val="false"/>
        </w:rPr>
      </w:pPr>
      <w:r>
        <w:rPr>
          <w:b w:val="false"/>
          <w:bCs w:val="false"/>
          <w:i w:val="false"/>
          <w:iCs w:val="false"/>
        </w:rPr>
      </w:r>
    </w:p>
    <w:p>
      <w:pPr>
        <w:pStyle w:val="BodyText"/>
        <w:numPr>
          <w:ilvl w:val="1"/>
          <w:numId w:val="5"/>
        </w:numPr>
        <w:ind w:hanging="360" w:start="1080" w:end="0"/>
        <w:rPr>
          <w:b w:val="false"/>
          <w:bCs w:val="false"/>
        </w:rPr>
      </w:pPr>
      <w:r>
        <w:rPr>
          <w:b w:val="false"/>
          <w:bCs w:val="false"/>
        </w:rPr>
        <w:t>Opening the electricity market will provide opportunities to buy and sell power on the internet via on-line trading platforms such as Enron Online;</w:t>
      </w:r>
    </w:p>
    <w:p>
      <w:pPr>
        <w:pStyle w:val="BodyText"/>
        <w:ind w:hanging="360" w:start="1080" w:end="0"/>
        <w:rPr>
          <w:b w:val="false"/>
          <w:bCs w:val="false"/>
        </w:rPr>
      </w:pPr>
      <w:r>
        <w:rPr>
          <w:b w:val="false"/>
          <w:bCs w:val="false"/>
        </w:rPr>
      </w:r>
    </w:p>
    <w:p>
      <w:pPr>
        <w:pStyle w:val="BodyText"/>
        <w:numPr>
          <w:ilvl w:val="1"/>
          <w:numId w:val="5"/>
        </w:numPr>
        <w:ind w:hanging="360" w:start="1080" w:end="0"/>
        <w:rPr>
          <w:b w:val="false"/>
          <w:bCs w:val="false"/>
        </w:rPr>
      </w:pPr>
      <w:r>
        <w:rPr>
          <w:b w:val="false"/>
          <w:bCs w:val="false"/>
        </w:rPr>
        <w:t>The preparation for the new wholesale and retail markets in Ontario has already seen considerable investment in new software systems and related business processes, particularly related to settlement systems and electronic business transactions.  For instance, Enron Canada has developed a new web-based tool that will enable large industrial customers to manage – at low-cost – their settlements with the IMO;</w:t>
      </w:r>
    </w:p>
    <w:p>
      <w:pPr>
        <w:pStyle w:val="BodyText"/>
        <w:ind w:hanging="360" w:start="1080" w:end="0"/>
        <w:rPr>
          <w:b w:val="false"/>
          <w:bCs w:val="false"/>
        </w:rPr>
      </w:pPr>
      <w:r>
        <w:rPr>
          <w:b w:val="false"/>
          <w:bCs w:val="false"/>
        </w:rPr>
      </w:r>
    </w:p>
    <w:p>
      <w:pPr>
        <w:pStyle w:val="BodyText"/>
        <w:numPr>
          <w:ilvl w:val="1"/>
          <w:numId w:val="5"/>
        </w:numPr>
        <w:ind w:hanging="360" w:start="1080" w:end="0"/>
        <w:rPr>
          <w:b w:val="false"/>
          <w:bCs w:val="false"/>
        </w:rPr>
      </w:pPr>
      <w:r>
        <w:rPr>
          <w:b w:val="false"/>
          <w:bCs w:val="false"/>
        </w:rPr>
        <w:t>The restructuring of the distribution sector has created opportunities for distributors to realize significant economies in system operations through outsourcing certain functions (such as settlements) to “service bureaus” such as ENERconnect and other service providers;</w:t>
      </w:r>
    </w:p>
    <w:p>
      <w:pPr>
        <w:pStyle w:val="BodyText"/>
        <w:ind w:hanging="360" w:start="1080" w:end="0"/>
        <w:rPr>
          <w:b w:val="false"/>
          <w:bCs w:val="false"/>
        </w:rPr>
      </w:pPr>
      <w:r>
        <w:rPr>
          <w:b w:val="false"/>
          <w:bCs w:val="false"/>
        </w:rPr>
      </w:r>
    </w:p>
    <w:p>
      <w:pPr>
        <w:pStyle w:val="BodyText"/>
        <w:numPr>
          <w:ilvl w:val="1"/>
          <w:numId w:val="5"/>
        </w:numPr>
        <w:ind w:hanging="360" w:start="1080" w:end="0"/>
        <w:rPr>
          <w:b w:val="false"/>
          <w:bCs w:val="false"/>
        </w:rPr>
      </w:pPr>
      <w:r>
        <w:rPr>
          <w:b w:val="false"/>
          <w:bCs w:val="false"/>
        </w:rPr>
        <w:t>Commercial and industrial customers are already exploring, in advance of market opening, ways in which they can better manage their loads and thereby realize savings in a real time spot-market pricing environment;</w:t>
      </w:r>
    </w:p>
    <w:p>
      <w:pPr>
        <w:pStyle w:val="BodyText"/>
        <w:ind w:hanging="360" w:start="1080" w:end="0"/>
        <w:rPr>
          <w:b w:val="false"/>
          <w:bCs w:val="false"/>
        </w:rPr>
      </w:pPr>
      <w:r>
        <w:rPr>
          <w:b w:val="false"/>
          <w:bCs w:val="false"/>
        </w:rPr>
      </w:r>
    </w:p>
    <w:p>
      <w:pPr>
        <w:pStyle w:val="BodyText"/>
        <w:numPr>
          <w:ilvl w:val="1"/>
          <w:numId w:val="5"/>
        </w:numPr>
        <w:ind w:hanging="360" w:start="1080" w:end="0"/>
        <w:rPr>
          <w:b w:val="false"/>
          <w:bCs w:val="false"/>
        </w:rPr>
      </w:pPr>
      <w:r>
        <w:rPr>
          <w:b w:val="false"/>
          <w:bCs w:val="false"/>
        </w:rPr>
        <w:t>Industrial customers are already looking at ways in which they can manage their loads in order to qualify as “dispatchable loads” under the IMO rules and thereby be in a position to offer operating reserve in the IMO-administered markets; and</w:t>
      </w:r>
    </w:p>
    <w:p>
      <w:pPr>
        <w:pStyle w:val="BodyText"/>
        <w:ind w:hanging="360" w:start="1080" w:end="0"/>
        <w:rPr>
          <w:b w:val="false"/>
          <w:bCs w:val="false"/>
        </w:rPr>
      </w:pPr>
      <w:r>
        <w:rPr>
          <w:b w:val="false"/>
          <w:bCs w:val="false"/>
        </w:rPr>
      </w:r>
    </w:p>
    <w:p>
      <w:pPr>
        <w:pStyle w:val="BodyText"/>
        <w:numPr>
          <w:ilvl w:val="1"/>
          <w:numId w:val="5"/>
        </w:numPr>
        <w:ind w:hanging="360" w:start="1080" w:end="0"/>
        <w:rPr>
          <w:b w:val="false"/>
          <w:bCs w:val="false"/>
        </w:rPr>
      </w:pPr>
      <w:r>
        <w:rPr>
          <w:b w:val="false"/>
          <w:bCs w:val="false"/>
        </w:rPr>
        <w:t>The opening of the market will support the development and refinement of significant Ontario-based expertise in the areas of demand side management, risk management, information management, load profiling, forecasting, metering, emission control devices, and related services.</w:t>
      </w:r>
    </w:p>
    <w:p>
      <w:pPr>
        <w:pStyle w:val="BodyText"/>
        <w:ind w:hanging="360" w:start="1080" w:end="0"/>
        <w:rPr>
          <w:b w:val="false"/>
          <w:bCs w:val="false"/>
          <w:i w:val="false"/>
          <w:i w:val="false"/>
          <w:iCs w:val="false"/>
        </w:rPr>
      </w:pPr>
      <w:r>
        <w:rPr>
          <w:b w:val="false"/>
          <w:bCs w:val="false"/>
          <w:i w:val="false"/>
          <w:iCs w:val="false"/>
        </w:rPr>
      </w:r>
    </w:p>
    <w:p>
      <w:pPr>
        <w:pStyle w:val="BodyText"/>
        <w:numPr>
          <w:ilvl w:val="1"/>
          <w:numId w:val="3"/>
        </w:numPr>
        <w:ind w:hanging="360" w:start="720" w:end="0"/>
        <w:rPr>
          <w:b w:val="false"/>
          <w:bCs w:val="false"/>
          <w:i w:val="false"/>
          <w:i w:val="false"/>
          <w:iCs w:val="false"/>
        </w:rPr>
      </w:pPr>
      <w:r>
        <w:rPr>
          <w:b w:val="false"/>
          <w:bCs w:val="false"/>
          <w:i w:val="false"/>
          <w:iCs w:val="false"/>
        </w:rPr>
        <w:t>Ontario-based entities are already supporting the search for and development of alternative sources of power:</w:t>
      </w:r>
    </w:p>
    <w:p>
      <w:pPr>
        <w:pStyle w:val="BodyText"/>
        <w:rPr>
          <w:b w:val="false"/>
          <w:bCs w:val="false"/>
          <w:i w:val="false"/>
          <w:i w:val="false"/>
          <w:iCs w:val="false"/>
        </w:rPr>
      </w:pPr>
      <w:r>
        <w:rPr>
          <w:b w:val="false"/>
          <w:bCs w:val="false"/>
          <w:i w:val="false"/>
          <w:iCs w:val="false"/>
        </w:rPr>
      </w:r>
    </w:p>
    <w:p>
      <w:pPr>
        <w:pStyle w:val="BodyText"/>
        <w:numPr>
          <w:ilvl w:val="1"/>
          <w:numId w:val="10"/>
        </w:numPr>
        <w:rPr>
          <w:b w:val="false"/>
          <w:bCs w:val="false"/>
        </w:rPr>
      </w:pPr>
      <w:r>
        <w:rPr>
          <w:b w:val="false"/>
          <w:bCs w:val="false"/>
        </w:rPr>
        <w:t>OPG has announced plans to expand its green energy portfolio, through Evergreen Energy, to 500MW;</w:t>
      </w:r>
    </w:p>
    <w:p>
      <w:pPr>
        <w:pStyle w:val="BodyText"/>
        <w:ind w:start="1080" w:end="0"/>
        <w:rPr>
          <w:b w:val="false"/>
          <w:bCs w:val="false"/>
        </w:rPr>
      </w:pPr>
      <w:r>
        <w:rPr>
          <w:b w:val="false"/>
          <w:bCs w:val="false"/>
        </w:rPr>
      </w:r>
    </w:p>
    <w:p>
      <w:pPr>
        <w:pStyle w:val="BodyText"/>
        <w:numPr>
          <w:ilvl w:val="1"/>
          <w:numId w:val="10"/>
        </w:numPr>
        <w:rPr>
          <w:b w:val="false"/>
          <w:bCs w:val="false"/>
        </w:rPr>
      </w:pPr>
      <w:r>
        <w:rPr>
          <w:b w:val="false"/>
          <w:bCs w:val="false"/>
        </w:rPr>
        <w:t>A partnership of British Energy Canada and OPG have announced the development of a 10MW wind energy farm adjacent to the Bruce nuclear site;</w:t>
      </w:r>
    </w:p>
    <w:p>
      <w:pPr>
        <w:pStyle w:val="BodyText"/>
        <w:rPr>
          <w:b w:val="false"/>
          <w:bCs w:val="false"/>
        </w:rPr>
      </w:pPr>
      <w:r>
        <w:rPr>
          <w:b w:val="false"/>
          <w:bCs w:val="false"/>
        </w:rPr>
      </w:r>
    </w:p>
    <w:p>
      <w:pPr>
        <w:pStyle w:val="BodyText"/>
        <w:numPr>
          <w:ilvl w:val="1"/>
          <w:numId w:val="10"/>
        </w:numPr>
        <w:rPr>
          <w:b w:val="false"/>
          <w:bCs w:val="false"/>
        </w:rPr>
      </w:pPr>
      <w:r>
        <w:rPr>
          <w:b w:val="false"/>
          <w:bCs w:val="false"/>
        </w:rPr>
        <w:t>Toronto Hydro Energy Services is moving forward with its plan to develop a wind energy project on the Toronto waterfront; and</w:t>
      </w:r>
    </w:p>
    <w:p>
      <w:pPr>
        <w:pStyle w:val="BodyText"/>
        <w:rPr>
          <w:b w:val="false"/>
          <w:bCs w:val="false"/>
        </w:rPr>
      </w:pPr>
      <w:r>
        <w:rPr>
          <w:b w:val="false"/>
          <w:bCs w:val="false"/>
        </w:rPr>
      </w:r>
    </w:p>
    <w:p>
      <w:pPr>
        <w:pStyle w:val="BodyText"/>
        <w:numPr>
          <w:ilvl w:val="1"/>
          <w:numId w:val="10"/>
        </w:numPr>
        <w:rPr>
          <w:b w:val="false"/>
          <w:bCs w:val="false"/>
        </w:rPr>
      </w:pPr>
      <w:r>
        <w:rPr>
          <w:b w:val="false"/>
          <w:bCs w:val="false"/>
        </w:rPr>
        <w:t>The Canadian Renewable Energy Corporation (CREC), based in Mississauga, has already planned investments of $20 million in the 2001/2002 time frame.</w:t>
      </w:r>
    </w:p>
    <w:p>
      <w:pPr>
        <w:pStyle w:val="BodyText"/>
        <w:rPr>
          <w:b w:val="false"/>
          <w:bCs w:val="false"/>
        </w:rPr>
      </w:pPr>
      <w:r>
        <w:rPr>
          <w:b w:val="false"/>
          <w:bCs w:val="false"/>
        </w:rPr>
      </w:r>
    </w:p>
    <w:p>
      <w:pPr>
        <w:pStyle w:val="BodyText"/>
        <w:numPr>
          <w:ilvl w:val="1"/>
          <w:numId w:val="19"/>
        </w:numPr>
        <w:ind w:hanging="360" w:start="720" w:end="0"/>
        <w:rPr>
          <w:b w:val="false"/>
          <w:bCs w:val="false"/>
          <w:i w:val="false"/>
          <w:i w:val="false"/>
          <w:iCs w:val="false"/>
        </w:rPr>
      </w:pPr>
      <w:r>
        <w:rPr>
          <w:b w:val="false"/>
          <w:bCs w:val="false"/>
          <w:i w:val="false"/>
          <w:iCs w:val="false"/>
        </w:rPr>
        <w:t>Ontario policy makers should have confidence that opening the Ontario market will yield even further innovation and investment in the Ontario renewable sector.</w:t>
      </w:r>
    </w:p>
    <w:p>
      <w:pPr>
        <w:pStyle w:val="BodyText"/>
        <w:ind w:hanging="2280" w:start="2640" w:end="0"/>
        <w:rPr>
          <w:b w:val="false"/>
          <w:bCs w:val="false"/>
          <w:i w:val="false"/>
          <w:i w:val="false"/>
          <w:iCs w:val="false"/>
        </w:rPr>
      </w:pPr>
      <w:r>
        <w:rPr>
          <w:b w:val="false"/>
          <w:bCs w:val="false"/>
          <w:i w:val="false"/>
          <w:iCs w:val="false"/>
        </w:rPr>
      </w:r>
    </w:p>
    <w:p>
      <w:pPr>
        <w:pStyle w:val="BodyText"/>
        <w:ind w:hanging="2280" w:start="2640" w:end="0"/>
        <w:rPr>
          <w:b w:val="false"/>
          <w:bCs w:val="false"/>
          <w:i w:val="false"/>
          <w:i w:val="false"/>
          <w:iCs w:val="false"/>
        </w:rPr>
      </w:pPr>
      <w:r>
        <w:rPr>
          <w:b w:val="false"/>
          <w:bCs w:val="false"/>
          <w:i w:val="false"/>
          <w:iCs w:val="false"/>
        </w:rPr>
      </w:r>
    </w:p>
    <w:p>
      <w:pPr>
        <w:pStyle w:val="BodyText"/>
        <w:rPr>
          <w:b w:val="false"/>
          <w:bCs w:val="false"/>
          <w:i w:val="false"/>
          <w:i w:val="false"/>
          <w:iCs w:val="false"/>
        </w:rPr>
      </w:pPr>
      <w:r>
        <w:rPr>
          <w:i w:val="false"/>
          <w:iCs w:val="false"/>
        </w:rPr>
        <w:t>V.</w:t>
        <w:tab/>
      </w:r>
      <w:r>
        <w:rPr>
          <w:i w:val="false"/>
          <w:iCs w:val="false"/>
          <w:u w:val="single"/>
        </w:rPr>
        <w:t>Enron’s Response to Other Arguments Raised Against a November 2001 Opening</w:t>
      </w:r>
    </w:p>
    <w:p>
      <w:pPr>
        <w:pStyle w:val="BodyText"/>
        <w:rPr>
          <w:b w:val="false"/>
          <w:bCs w:val="false"/>
          <w:i w:val="false"/>
          <w:i w:val="false"/>
          <w:iCs w:val="false"/>
        </w:rPr>
      </w:pPr>
      <w:r>
        <w:rPr>
          <w:b w:val="false"/>
          <w:bCs w:val="false"/>
          <w:i w:val="false"/>
          <w:iCs w:val="false"/>
        </w:rPr>
      </w:r>
    </w:p>
    <w:p>
      <w:pPr>
        <w:pStyle w:val="BodyText"/>
        <w:rPr>
          <w:b w:val="false"/>
          <w:bCs w:val="false"/>
          <w:i w:val="false"/>
          <w:i w:val="false"/>
          <w:iCs w:val="false"/>
        </w:rPr>
      </w:pPr>
      <w:r>
        <w:rPr>
          <w:b w:val="false"/>
          <w:bCs w:val="false"/>
          <w:i w:val="false"/>
          <w:iCs w:val="false"/>
        </w:rPr>
      </w:r>
    </w:p>
    <w:p>
      <w:pPr>
        <w:pStyle w:val="BodyText"/>
        <w:ind w:hanging="1440" w:start="1440" w:end="0"/>
        <w:rPr>
          <w:i w:val="false"/>
          <w:i w:val="false"/>
          <w:iCs w:val="false"/>
        </w:rPr>
      </w:pPr>
      <w:r>
        <w:rPr>
          <w:i w:val="false"/>
          <w:iCs w:val="false"/>
        </w:rPr>
        <w:t>Concern 1:</w:t>
        <w:tab/>
        <w:t>Concern that Ontario will experience a tight reserve margin and price spikes in Winter 2001-2002</w:t>
      </w:r>
    </w:p>
    <w:p>
      <w:pPr>
        <w:pStyle w:val="BodyText"/>
        <w:rPr>
          <w:b w:val="false"/>
          <w:bCs w:val="false"/>
          <w:i w:val="false"/>
          <w:i w:val="false"/>
          <w:iCs w:val="false"/>
        </w:rPr>
      </w:pPr>
      <w:r>
        <w:rPr>
          <w:b w:val="false"/>
          <w:bCs w:val="false"/>
          <w:i w:val="false"/>
          <w:iCs w:val="false"/>
        </w:rPr>
      </w:r>
    </w:p>
    <w:p>
      <w:pPr>
        <w:pStyle w:val="BodyText"/>
        <w:numPr>
          <w:ilvl w:val="0"/>
          <w:numId w:val="16"/>
        </w:numPr>
        <w:rPr>
          <w:b w:val="false"/>
          <w:bCs w:val="false"/>
          <w:i w:val="false"/>
          <w:i w:val="false"/>
          <w:iCs w:val="false"/>
        </w:rPr>
      </w:pPr>
      <w:r>
        <w:rPr>
          <w:b w:val="false"/>
          <w:bCs w:val="false"/>
          <w:i w:val="false"/>
          <w:iCs w:val="false"/>
        </w:rPr>
        <w:t xml:space="preserve">A concern that has gained some currency within the Government is the argument that Ontario faces the prospect of tight reserve margins and “price spikes” during the Winter 2001-2002 period.  This argument is being cited by some as a reason to delay market opening until the Spring of 2002. </w:t>
      </w:r>
    </w:p>
    <w:p>
      <w:pPr>
        <w:pStyle w:val="BodyText"/>
        <w:ind w:start="360" w:end="0"/>
        <w:rPr>
          <w:b w:val="false"/>
          <w:bCs w:val="false"/>
          <w:i w:val="false"/>
          <w:i w:val="false"/>
          <w:iCs w:val="false"/>
        </w:rPr>
      </w:pPr>
      <w:r>
        <w:rPr>
          <w:b w:val="false"/>
          <w:bCs w:val="false"/>
          <w:i w:val="false"/>
          <w:iCs w:val="false"/>
        </w:rPr>
      </w:r>
    </w:p>
    <w:p>
      <w:pPr>
        <w:pStyle w:val="BodyText"/>
        <w:numPr>
          <w:ilvl w:val="0"/>
          <w:numId w:val="16"/>
        </w:numPr>
        <w:rPr>
          <w:b w:val="false"/>
          <w:bCs w:val="false"/>
          <w:i w:val="false"/>
          <w:i w:val="false"/>
          <w:iCs w:val="false"/>
        </w:rPr>
      </w:pPr>
      <w:r>
        <w:rPr>
          <w:b w:val="false"/>
          <w:bCs w:val="false"/>
          <w:i w:val="false"/>
          <w:iCs w:val="false"/>
        </w:rPr>
        <w:t>Our understanding is that this concern had its origin in, first, a “fact finding” tour which Minister Wilson and Deputy Minister Purchase took in California in early April 2001, and, second, a report prepared for the Association of Major Power Consumers in Ontario (AMPCO) by Nabila Yousef, a former senior Ontario Hydro nuclear engineer.</w:t>
      </w:r>
    </w:p>
    <w:p>
      <w:pPr>
        <w:pStyle w:val="BodyText"/>
        <w:rPr>
          <w:b w:val="false"/>
          <w:bCs w:val="false"/>
          <w:i w:val="false"/>
          <w:i w:val="false"/>
          <w:iCs w:val="false"/>
        </w:rPr>
      </w:pPr>
      <w:r>
        <w:rPr>
          <w:b w:val="false"/>
          <w:bCs w:val="false"/>
          <w:i w:val="false"/>
          <w:iCs w:val="false"/>
        </w:rPr>
      </w:r>
    </w:p>
    <w:p>
      <w:pPr>
        <w:pStyle w:val="BodyText"/>
        <w:numPr>
          <w:ilvl w:val="0"/>
          <w:numId w:val="16"/>
        </w:numPr>
        <w:rPr>
          <w:b w:val="false"/>
          <w:bCs w:val="false"/>
          <w:i w:val="false"/>
          <w:i w:val="false"/>
          <w:iCs w:val="false"/>
        </w:rPr>
      </w:pPr>
      <w:r>
        <w:rPr>
          <w:b w:val="false"/>
          <w:bCs w:val="false"/>
          <w:i w:val="false"/>
          <w:iCs w:val="false"/>
        </w:rPr>
        <w:t>The central thesis of Ms. Yousef’s study is that the IMO’s November 2000 18-month outlook re:  generation resources was misleading in its measurement of Ontario’s reserve margin.  The IMO’s November 2000 outlook calculated an Installed Capacity Reserve Margin (including the laid-up Pickering A units) rather than a more appropriate Energy Reserve Margin using available reserves adjusted for planned and forced outages.</w:t>
      </w:r>
    </w:p>
    <w:p>
      <w:pPr>
        <w:pStyle w:val="BodyText"/>
        <w:rPr>
          <w:b w:val="false"/>
          <w:bCs w:val="false"/>
          <w:i w:val="false"/>
          <w:i w:val="false"/>
          <w:iCs w:val="false"/>
        </w:rPr>
      </w:pPr>
      <w:r>
        <w:rPr>
          <w:b w:val="false"/>
          <w:bCs w:val="false"/>
          <w:i w:val="false"/>
          <w:iCs w:val="false"/>
        </w:rPr>
      </w:r>
    </w:p>
    <w:p>
      <w:pPr>
        <w:pStyle w:val="BodyText"/>
        <w:numPr>
          <w:ilvl w:val="0"/>
          <w:numId w:val="16"/>
        </w:numPr>
        <w:rPr>
          <w:b w:val="false"/>
          <w:bCs w:val="false"/>
          <w:i w:val="false"/>
          <w:i w:val="false"/>
          <w:iCs w:val="false"/>
        </w:rPr>
      </w:pPr>
      <w:r>
        <w:rPr>
          <w:b w:val="false"/>
          <w:bCs w:val="false"/>
          <w:i w:val="false"/>
          <w:iCs w:val="false"/>
        </w:rPr>
        <w:t>We agree with Ms. Yousef’s conclusion on this narrow issue, and note that the more recent April 2001 18-month outlook presents a more accurate assessment of the adequacy of reserves in Ontario.  However, we take issue with the conclusion which some stakeholders (particularly several large industrial customers) and some policymakers (particularly, we understand, Deputy Minister Purchase) have drawn from her report – namely, that there is a serious risk of a major nuclear outage over the Winter and, accordingly, that the opening of the market should be delayed beyond November 2001.  (Ms. Yousef and the President of AMPCO have assured us privately that they do not agree with this conclusion that others have drawn).</w:t>
      </w:r>
    </w:p>
    <w:p>
      <w:pPr>
        <w:pStyle w:val="BodyText"/>
        <w:rPr>
          <w:b w:val="false"/>
          <w:bCs w:val="false"/>
          <w:i w:val="false"/>
          <w:i w:val="false"/>
          <w:iCs w:val="false"/>
        </w:rPr>
      </w:pPr>
      <w:r>
        <w:rPr>
          <w:b w:val="false"/>
          <w:bCs w:val="false"/>
          <w:i w:val="false"/>
          <w:iCs w:val="false"/>
        </w:rPr>
      </w:r>
    </w:p>
    <w:p>
      <w:pPr>
        <w:pStyle w:val="BodyText"/>
        <w:numPr>
          <w:ilvl w:val="0"/>
          <w:numId w:val="16"/>
        </w:numPr>
        <w:rPr>
          <w:b w:val="false"/>
          <w:bCs w:val="false"/>
          <w:i w:val="false"/>
          <w:i w:val="false"/>
          <w:iCs w:val="false"/>
        </w:rPr>
      </w:pPr>
      <w:r>
        <w:rPr>
          <w:b w:val="false"/>
          <w:bCs w:val="false"/>
          <w:i w:val="false"/>
          <w:iCs w:val="false"/>
        </w:rPr>
        <w:t>In response to the concerns outlined above, Enron has prepared a comprehensive analysis of Ontario generation resource adequacy and pricing issues in the Winter 2001-2002 period.  That analysis has been presented to senior Government and regulatory officials.  The key conclusions of that analysis are as follows:</w:t>
      </w:r>
    </w:p>
    <w:p>
      <w:pPr>
        <w:pStyle w:val="BodyText"/>
        <w:rPr>
          <w:b w:val="false"/>
          <w:bCs w:val="false"/>
          <w:i w:val="false"/>
          <w:i w:val="false"/>
          <w:iCs w:val="false"/>
        </w:rPr>
      </w:pPr>
      <w:r>
        <w:rPr>
          <w:b w:val="false"/>
          <w:bCs w:val="false"/>
          <w:i w:val="false"/>
          <w:iCs w:val="false"/>
        </w:rPr>
      </w:r>
    </w:p>
    <w:p>
      <w:pPr>
        <w:pStyle w:val="BodyText"/>
        <w:numPr>
          <w:ilvl w:val="1"/>
          <w:numId w:val="16"/>
        </w:numPr>
        <w:rPr>
          <w:b w:val="false"/>
          <w:bCs w:val="false"/>
        </w:rPr>
      </w:pPr>
      <w:r>
        <w:rPr>
          <w:b w:val="false"/>
          <w:bCs w:val="false"/>
        </w:rPr>
        <w:t>Ontario has sufficient resources to maintain adequate reserve margins until 2010 under the IMO’s median demand forecast and until Summer 2005 under the IMO’s high demand forecast.</w:t>
      </w:r>
    </w:p>
    <w:p>
      <w:pPr>
        <w:pStyle w:val="BodyText"/>
        <w:ind w:start="1080" w:end="0"/>
        <w:rPr>
          <w:b w:val="false"/>
          <w:bCs w:val="false"/>
        </w:rPr>
      </w:pPr>
      <w:r>
        <w:rPr>
          <w:b w:val="false"/>
          <w:bCs w:val="false"/>
        </w:rPr>
      </w:r>
    </w:p>
    <w:p>
      <w:pPr>
        <w:pStyle w:val="BodyText"/>
        <w:numPr>
          <w:ilvl w:val="1"/>
          <w:numId w:val="16"/>
        </w:numPr>
        <w:rPr>
          <w:b w:val="false"/>
          <w:bCs w:val="false"/>
        </w:rPr>
      </w:pPr>
      <w:r>
        <w:rPr>
          <w:b w:val="false"/>
          <w:bCs w:val="false"/>
        </w:rPr>
        <w:t>In addition to adequate reserve margins (whether calculated on the basis of installed capacity or NPCC’s energy reserves design criteria), Ontario is hedged against high winter prices because the Eastern Interconnect has a surplus of power in the winter season (about 3900 MW simultaneous transfer import capability with connected markets).</w:t>
      </w:r>
    </w:p>
    <w:p>
      <w:pPr>
        <w:pStyle w:val="BodyText"/>
        <w:rPr>
          <w:b w:val="false"/>
          <w:bCs w:val="false"/>
        </w:rPr>
      </w:pPr>
      <w:r>
        <w:rPr>
          <w:b w:val="false"/>
          <w:bCs w:val="false"/>
        </w:rPr>
      </w:r>
    </w:p>
    <w:p>
      <w:pPr>
        <w:pStyle w:val="BodyText"/>
        <w:numPr>
          <w:ilvl w:val="1"/>
          <w:numId w:val="16"/>
        </w:numPr>
        <w:rPr>
          <w:b w:val="false"/>
          <w:bCs w:val="false"/>
        </w:rPr>
      </w:pPr>
      <w:r>
        <w:rPr>
          <w:b w:val="false"/>
          <w:bCs w:val="false"/>
        </w:rPr>
        <w:t>In any event, there is no history of significant price spikes in the Eastern Interconnect during the winter months.</w:t>
      </w:r>
    </w:p>
    <w:p>
      <w:pPr>
        <w:pStyle w:val="BodyText"/>
        <w:rPr>
          <w:b w:val="false"/>
          <w:bCs w:val="false"/>
        </w:rPr>
      </w:pPr>
      <w:r>
        <w:rPr>
          <w:b w:val="false"/>
          <w:bCs w:val="false"/>
        </w:rPr>
      </w:r>
    </w:p>
    <w:p>
      <w:pPr>
        <w:pStyle w:val="BodyText"/>
        <w:numPr>
          <w:ilvl w:val="1"/>
          <w:numId w:val="16"/>
        </w:numPr>
        <w:rPr>
          <w:b w:val="false"/>
          <w:bCs w:val="false"/>
        </w:rPr>
      </w:pPr>
      <w:r>
        <w:rPr>
          <w:b w:val="false"/>
          <w:bCs w:val="false"/>
        </w:rPr>
        <w:t>The 1998 and 1999 price spikes in the Midwest were the product of extreme summer temperatures, forced outages at times when capacity reserves were below 5%, and serious transmission constraints.</w:t>
      </w:r>
    </w:p>
    <w:p>
      <w:pPr>
        <w:pStyle w:val="BodyText"/>
        <w:ind w:start="1080" w:end="0"/>
        <w:rPr>
          <w:b w:val="false"/>
          <w:bCs w:val="false"/>
        </w:rPr>
      </w:pPr>
      <w:r>
        <w:rPr>
          <w:b w:val="false"/>
          <w:bCs w:val="false"/>
        </w:rPr>
      </w:r>
    </w:p>
    <w:p>
      <w:pPr>
        <w:pStyle w:val="BodyText"/>
        <w:numPr>
          <w:ilvl w:val="1"/>
          <w:numId w:val="16"/>
        </w:numPr>
        <w:rPr>
          <w:b w:val="false"/>
          <w:bCs w:val="false"/>
        </w:rPr>
      </w:pPr>
      <w:r>
        <w:rPr>
          <w:b w:val="false"/>
          <w:bCs w:val="false"/>
        </w:rPr>
        <w:t>Since 1998 – 1999, significant new generation has been built in the Eastern Interconnect and capacity margins have improved significantly.</w:t>
      </w:r>
    </w:p>
    <w:p>
      <w:pPr>
        <w:pStyle w:val="BodyText"/>
        <w:rPr>
          <w:b w:val="false"/>
          <w:bCs w:val="false"/>
        </w:rPr>
      </w:pPr>
      <w:r>
        <w:rPr>
          <w:b w:val="false"/>
          <w:bCs w:val="false"/>
        </w:rPr>
      </w:r>
    </w:p>
    <w:p>
      <w:pPr>
        <w:pStyle w:val="BodyText"/>
        <w:numPr>
          <w:ilvl w:val="2"/>
          <w:numId w:val="16"/>
        </w:numPr>
        <w:rPr>
          <w:b w:val="false"/>
          <w:bCs w:val="false"/>
        </w:rPr>
      </w:pPr>
      <w:r>
        <w:rPr>
          <w:b w:val="false"/>
          <w:bCs w:val="false"/>
        </w:rPr>
        <w:t>As noted above, PIRA estimates that capacity additions for the East U.S. by Summer 2001 are about 30,000 MW year over year.</w:t>
      </w:r>
    </w:p>
    <w:p>
      <w:pPr>
        <w:pStyle w:val="BodyText"/>
        <w:rPr>
          <w:b w:val="false"/>
          <w:bCs w:val="false"/>
        </w:rPr>
      </w:pPr>
      <w:r>
        <w:rPr>
          <w:b w:val="false"/>
          <w:bCs w:val="false"/>
        </w:rPr>
      </w:r>
    </w:p>
    <w:p>
      <w:pPr>
        <w:pStyle w:val="BodyText"/>
        <w:numPr>
          <w:ilvl w:val="1"/>
          <w:numId w:val="16"/>
        </w:numPr>
        <w:rPr>
          <w:b w:val="false"/>
          <w:bCs w:val="false"/>
        </w:rPr>
      </w:pPr>
      <w:r>
        <w:rPr>
          <w:b w:val="false"/>
          <w:bCs w:val="false"/>
        </w:rPr>
        <w:t>Since 1998-1999, the number of transmission constraints impacting Ontario has fallen considerably (as measured by the IMO’s TLR logs).</w:t>
      </w:r>
    </w:p>
    <w:p>
      <w:pPr>
        <w:pStyle w:val="BodyText"/>
        <w:rPr>
          <w:b w:val="false"/>
          <w:bCs w:val="false"/>
        </w:rPr>
      </w:pPr>
      <w:r>
        <w:rPr>
          <w:b w:val="false"/>
          <w:bCs w:val="false"/>
        </w:rPr>
      </w:r>
    </w:p>
    <w:p>
      <w:pPr>
        <w:pStyle w:val="BodyText"/>
        <w:numPr>
          <w:ilvl w:val="1"/>
          <w:numId w:val="16"/>
        </w:numPr>
        <w:rPr>
          <w:b w:val="false"/>
          <w:bCs w:val="false"/>
        </w:rPr>
      </w:pPr>
      <w:r>
        <w:rPr>
          <w:b w:val="false"/>
          <w:bCs w:val="false"/>
        </w:rPr>
        <w:t>Enron estimates that Ontario’s capacity reserve margin will be 15-17% during the Winter 2001-2002 months.</w:t>
      </w:r>
    </w:p>
    <w:p>
      <w:pPr>
        <w:pStyle w:val="BodyText"/>
        <w:rPr>
          <w:b w:val="false"/>
          <w:bCs w:val="false"/>
        </w:rPr>
      </w:pPr>
      <w:r>
        <w:rPr>
          <w:b w:val="false"/>
          <w:bCs w:val="false"/>
        </w:rPr>
      </w:r>
    </w:p>
    <w:p>
      <w:pPr>
        <w:pStyle w:val="BodyText"/>
        <w:numPr>
          <w:ilvl w:val="1"/>
          <w:numId w:val="16"/>
        </w:numPr>
        <w:rPr>
          <w:b w:val="false"/>
          <w:bCs w:val="false"/>
        </w:rPr>
      </w:pPr>
      <w:r>
        <w:rPr>
          <w:b w:val="false"/>
          <w:bCs w:val="false"/>
        </w:rPr>
        <w:t>Enron sees no prospect of price spikes in Ontario over the Winter 2001-2002 months.</w:t>
      </w:r>
    </w:p>
    <w:p>
      <w:pPr>
        <w:pStyle w:val="BodyText"/>
        <w:rPr>
          <w:b w:val="false"/>
          <w:bCs w:val="false"/>
        </w:rPr>
      </w:pPr>
      <w:r>
        <w:rPr>
          <w:b w:val="false"/>
          <w:bCs w:val="false"/>
        </w:rPr>
      </w:r>
    </w:p>
    <w:p>
      <w:pPr>
        <w:pStyle w:val="BodyText"/>
        <w:numPr>
          <w:ilvl w:val="2"/>
          <w:numId w:val="22"/>
        </w:numPr>
        <w:ind w:hanging="360" w:start="720" w:end="0"/>
        <w:rPr>
          <w:b w:val="false"/>
          <w:bCs w:val="false"/>
          <w:i w:val="false"/>
          <w:i w:val="false"/>
          <w:iCs w:val="false"/>
        </w:rPr>
      </w:pPr>
      <w:r>
        <w:rPr>
          <w:b w:val="false"/>
          <w:bCs w:val="false"/>
          <w:i w:val="false"/>
          <w:iCs w:val="false"/>
        </w:rPr>
        <w:t>(a copy of Enron’s analysis entitled “Winter 2001-2002 Resource Adequacy in Ontario’s Electricity Market” has been sent with this briefing note).</w:t>
      </w:r>
    </w:p>
    <w:p>
      <w:pPr>
        <w:pStyle w:val="BodyText"/>
        <w:ind w:start="360" w:end="0"/>
        <w:rPr>
          <w:b w:val="false"/>
          <w:bCs w:val="false"/>
          <w:i w:val="false"/>
          <w:i w:val="false"/>
          <w:iCs w:val="false"/>
        </w:rPr>
      </w:pPr>
      <w:r>
        <w:rPr>
          <w:b w:val="false"/>
          <w:bCs w:val="false"/>
          <w:i w:val="false"/>
          <w:iCs w:val="false"/>
        </w:rPr>
      </w:r>
    </w:p>
    <w:p>
      <w:pPr>
        <w:pStyle w:val="BodyText"/>
        <w:numPr>
          <w:ilvl w:val="2"/>
          <w:numId w:val="22"/>
        </w:numPr>
        <w:ind w:hanging="360" w:start="720" w:end="0"/>
        <w:rPr>
          <w:b w:val="false"/>
          <w:bCs w:val="false"/>
          <w:i w:val="false"/>
          <w:i w:val="false"/>
          <w:iCs w:val="false"/>
        </w:rPr>
      </w:pPr>
      <w:r>
        <w:rPr>
          <w:b w:val="false"/>
          <w:bCs w:val="false"/>
          <w:i w:val="false"/>
          <w:iCs w:val="false"/>
        </w:rPr>
        <w:t>In any event, Ontario end-use consumers are substantially protected against price spikes by the MPMA “rebate” mechanism.  (However, remember that there are two qualifications to this:  i)  the rebate will be reduced to the extent that OPG “decontrols” assets, and ii)  the rebate is calculated annually and, by some estimates, may not be received by end-use customers until 6 months after the end of the year).</w:t>
      </w:r>
    </w:p>
    <w:p>
      <w:pPr>
        <w:pStyle w:val="BodyText"/>
        <w:rPr>
          <w:b w:val="false"/>
          <w:bCs w:val="false"/>
          <w:i w:val="false"/>
          <w:i w:val="false"/>
          <w:iCs w:val="false"/>
        </w:rPr>
      </w:pPr>
      <w:r>
        <w:rPr>
          <w:b w:val="false"/>
          <w:bCs w:val="false"/>
          <w:i w:val="false"/>
          <w:iCs w:val="false"/>
        </w:rPr>
      </w:r>
    </w:p>
    <w:p>
      <w:pPr>
        <w:pStyle w:val="BodyText"/>
        <w:numPr>
          <w:ilvl w:val="2"/>
          <w:numId w:val="22"/>
        </w:numPr>
        <w:ind w:hanging="360" w:start="720" w:end="0"/>
        <w:rPr>
          <w:b w:val="false"/>
          <w:bCs w:val="false"/>
          <w:i w:val="false"/>
          <w:i w:val="false"/>
          <w:iCs w:val="false"/>
        </w:rPr>
      </w:pPr>
      <w:r>
        <w:rPr>
          <w:b w:val="false"/>
          <w:bCs w:val="false"/>
          <w:i w:val="false"/>
          <w:iCs w:val="false"/>
        </w:rPr>
        <w:t>A significant number of the small volume customers have already signed with retailers and are, accordingly, already hedged against price spikes.</w:t>
      </w:r>
    </w:p>
    <w:p>
      <w:pPr>
        <w:pStyle w:val="BodyText"/>
        <w:rPr>
          <w:b w:val="false"/>
          <w:bCs w:val="false"/>
          <w:i w:val="false"/>
          <w:i w:val="false"/>
          <w:iCs w:val="false"/>
        </w:rPr>
      </w:pPr>
      <w:r>
        <w:rPr>
          <w:b w:val="false"/>
          <w:bCs w:val="false"/>
          <w:i w:val="false"/>
          <w:iCs w:val="false"/>
        </w:rPr>
      </w:r>
    </w:p>
    <w:p>
      <w:pPr>
        <w:pStyle w:val="BodyText"/>
        <w:rPr>
          <w:b w:val="false"/>
          <w:bCs w:val="false"/>
          <w:i w:val="false"/>
          <w:i w:val="false"/>
          <w:iCs w:val="false"/>
        </w:rPr>
      </w:pPr>
      <w:r>
        <w:rPr>
          <w:b w:val="false"/>
          <w:bCs w:val="false"/>
          <w:i w:val="false"/>
          <w:iCs w:val="false"/>
        </w:rPr>
      </w:r>
    </w:p>
    <w:p>
      <w:pPr>
        <w:pStyle w:val="BodyText"/>
        <w:numPr>
          <w:ilvl w:val="2"/>
          <w:numId w:val="22"/>
        </w:numPr>
        <w:ind w:hanging="360" w:start="720" w:end="0"/>
        <w:rPr>
          <w:b w:val="false"/>
          <w:bCs w:val="false"/>
          <w:i w:val="false"/>
          <w:i w:val="false"/>
          <w:iCs w:val="false"/>
        </w:rPr>
      </w:pPr>
      <w:r>
        <w:rPr>
          <w:b w:val="false"/>
          <w:bCs w:val="false"/>
          <w:i w:val="false"/>
          <w:iCs w:val="false"/>
        </w:rPr>
        <w:t>A significant number of the large volume industrial customers are already hedged by the OPG “transitional rates”.  In any event, such large industrial customers have the option of securing further price protection from a provider such as Enron, OPG or Toronto Hydro Energy Services.</w:t>
      </w:r>
    </w:p>
    <w:p>
      <w:pPr>
        <w:pStyle w:val="BodyText"/>
        <w:rPr>
          <w:b w:val="false"/>
          <w:bCs w:val="false"/>
          <w:i w:val="false"/>
          <w:i w:val="false"/>
          <w:iCs w:val="false"/>
        </w:rPr>
      </w:pPr>
      <w:r>
        <w:rPr>
          <w:b w:val="false"/>
          <w:bCs w:val="false"/>
          <w:i w:val="false"/>
          <w:iCs w:val="false"/>
        </w:rPr>
      </w:r>
    </w:p>
    <w:p>
      <w:pPr>
        <w:pStyle w:val="BodyText"/>
        <w:rPr>
          <w:b w:val="false"/>
          <w:bCs w:val="false"/>
        </w:rPr>
      </w:pPr>
      <w:r>
        <w:rPr>
          <w:b w:val="false"/>
          <w:bCs w:val="false"/>
        </w:rPr>
      </w:r>
    </w:p>
    <w:p>
      <w:pPr>
        <w:pStyle w:val="BodyText"/>
        <w:ind w:hanging="1440" w:start="1440" w:end="0"/>
        <w:rPr>
          <w:b w:val="false"/>
          <w:bCs w:val="false"/>
          <w:i w:val="false"/>
          <w:i w:val="false"/>
          <w:iCs w:val="false"/>
        </w:rPr>
      </w:pPr>
      <w:r>
        <w:rPr>
          <w:i w:val="false"/>
          <w:iCs w:val="false"/>
        </w:rPr>
        <w:t>Concern 2:</w:t>
        <w:tab/>
        <w:t>Concern that power prices could increase significantly after the market opens.</w:t>
      </w:r>
    </w:p>
    <w:p>
      <w:pPr>
        <w:pStyle w:val="BodyText"/>
        <w:rPr>
          <w:b w:val="false"/>
          <w:bCs w:val="false"/>
          <w:i w:val="false"/>
          <w:i w:val="false"/>
          <w:iCs w:val="false"/>
        </w:rPr>
      </w:pPr>
      <w:r>
        <w:rPr>
          <w:b w:val="false"/>
          <w:bCs w:val="false"/>
          <w:i w:val="false"/>
          <w:iCs w:val="false"/>
        </w:rPr>
      </w:r>
    </w:p>
    <w:p>
      <w:pPr>
        <w:pStyle w:val="BodyText"/>
        <w:numPr>
          <w:ilvl w:val="0"/>
          <w:numId w:val="8"/>
        </w:numPr>
        <w:ind w:hanging="360" w:start="720" w:end="0"/>
        <w:rPr>
          <w:b w:val="false"/>
          <w:bCs w:val="false"/>
          <w:i w:val="false"/>
          <w:i w:val="false"/>
          <w:iCs w:val="false"/>
        </w:rPr>
      </w:pPr>
      <w:r>
        <w:rPr>
          <w:b w:val="false"/>
          <w:bCs w:val="false"/>
          <w:i w:val="false"/>
          <w:iCs w:val="false"/>
        </w:rPr>
        <w:t>Enron is confident that Ontario consumers will not see significant increases in power prices once the market opens to completion.</w:t>
      </w:r>
    </w:p>
    <w:p>
      <w:pPr>
        <w:pStyle w:val="BodyText"/>
        <w:ind w:hanging="360" w:start="720" w:end="0"/>
        <w:rPr>
          <w:b w:val="false"/>
          <w:bCs w:val="false"/>
          <w:i w:val="false"/>
          <w:i w:val="false"/>
          <w:iCs w:val="false"/>
        </w:rPr>
      </w:pPr>
      <w:r>
        <w:rPr>
          <w:b w:val="false"/>
          <w:bCs w:val="false"/>
          <w:i w:val="false"/>
          <w:iCs w:val="false"/>
        </w:rPr>
      </w:r>
    </w:p>
    <w:p>
      <w:pPr>
        <w:pStyle w:val="BodyText"/>
        <w:numPr>
          <w:ilvl w:val="0"/>
          <w:numId w:val="8"/>
        </w:numPr>
        <w:ind w:hanging="360" w:start="720" w:end="0"/>
        <w:rPr>
          <w:b w:val="false"/>
          <w:bCs w:val="false"/>
          <w:i w:val="false"/>
          <w:i w:val="false"/>
          <w:iCs w:val="false"/>
        </w:rPr>
      </w:pPr>
      <w:r>
        <w:rPr>
          <w:b w:val="false"/>
          <w:bCs w:val="false"/>
          <w:i w:val="false"/>
          <w:iCs w:val="false"/>
        </w:rPr>
        <w:t xml:space="preserve">Enron is confident that Ontario power will trade at a </w:t>
      </w:r>
      <w:r>
        <w:rPr>
          <w:b w:val="false"/>
          <w:bCs w:val="false"/>
          <w:i w:val="false"/>
          <w:iCs w:val="false"/>
          <w:u w:val="single"/>
        </w:rPr>
        <w:t>discount</w:t>
      </w:r>
      <w:r>
        <w:rPr>
          <w:b w:val="false"/>
          <w:bCs w:val="false"/>
          <w:i w:val="false"/>
          <w:iCs w:val="false"/>
        </w:rPr>
        <w:t xml:space="preserve"> to the prices in the connected U.S. markets, even before the return of the Pickering A units.</w:t>
      </w:r>
    </w:p>
    <w:p>
      <w:pPr>
        <w:pStyle w:val="BodyText"/>
        <w:ind w:hanging="360" w:start="720" w:end="0"/>
        <w:rPr>
          <w:b w:val="false"/>
          <w:bCs w:val="false"/>
          <w:i w:val="false"/>
          <w:i w:val="false"/>
          <w:iCs w:val="false"/>
        </w:rPr>
      </w:pPr>
      <w:r>
        <w:rPr>
          <w:b w:val="false"/>
          <w:bCs w:val="false"/>
          <w:i w:val="false"/>
          <w:iCs w:val="false"/>
        </w:rPr>
      </w:r>
    </w:p>
    <w:p>
      <w:pPr>
        <w:pStyle w:val="BodyText"/>
        <w:numPr>
          <w:ilvl w:val="0"/>
          <w:numId w:val="8"/>
        </w:numPr>
        <w:ind w:hanging="360" w:start="720" w:end="0"/>
        <w:rPr>
          <w:b w:val="false"/>
          <w:bCs w:val="false"/>
          <w:i w:val="false"/>
          <w:i w:val="false"/>
          <w:iCs w:val="false"/>
        </w:rPr>
      </w:pPr>
      <w:r>
        <w:rPr>
          <w:b w:val="false"/>
          <w:bCs w:val="false"/>
          <w:i w:val="false"/>
          <w:iCs w:val="false"/>
        </w:rPr>
        <w:t>The price at which OPG sells bulk wholesale power to the distributors increased as of June 1, 2001 to approximately CDN $48 MWh.</w:t>
      </w:r>
    </w:p>
    <w:p>
      <w:pPr>
        <w:pStyle w:val="BodyText"/>
        <w:ind w:hanging="360" w:start="720" w:end="0"/>
        <w:rPr>
          <w:b w:val="false"/>
          <w:bCs w:val="false"/>
          <w:i w:val="false"/>
          <w:i w:val="false"/>
          <w:iCs w:val="false"/>
        </w:rPr>
      </w:pPr>
      <w:r>
        <w:rPr>
          <w:b w:val="false"/>
          <w:bCs w:val="false"/>
          <w:i w:val="false"/>
          <w:iCs w:val="false"/>
        </w:rPr>
      </w:r>
    </w:p>
    <w:p>
      <w:pPr>
        <w:pStyle w:val="BodyText"/>
        <w:numPr>
          <w:ilvl w:val="0"/>
          <w:numId w:val="8"/>
        </w:numPr>
        <w:ind w:hanging="360" w:start="720" w:end="0"/>
        <w:rPr>
          <w:b w:val="false"/>
          <w:bCs w:val="false"/>
          <w:i w:val="false"/>
          <w:i w:val="false"/>
          <w:iCs w:val="false"/>
        </w:rPr>
      </w:pPr>
      <w:r>
        <w:rPr>
          <w:b w:val="false"/>
          <w:bCs w:val="false"/>
          <w:i w:val="false"/>
          <w:iCs w:val="false"/>
        </w:rPr>
        <w:t>On a going forward basis, Enron’s analysis of available generation resources and pricing trends indicates that Ontario wholesale prices should, on average, be very close to the OPG bulk power rate as of June 1.</w:t>
      </w:r>
    </w:p>
    <w:p>
      <w:pPr>
        <w:pStyle w:val="BodyText"/>
        <w:ind w:hanging="360" w:start="720" w:end="0"/>
        <w:rPr>
          <w:b w:val="false"/>
          <w:bCs w:val="false"/>
          <w:i w:val="false"/>
          <w:i w:val="false"/>
          <w:iCs w:val="false"/>
        </w:rPr>
      </w:pPr>
      <w:r>
        <w:rPr>
          <w:b w:val="false"/>
          <w:bCs w:val="false"/>
          <w:i w:val="false"/>
          <w:iCs w:val="false"/>
        </w:rPr>
      </w:r>
    </w:p>
    <w:p>
      <w:pPr>
        <w:pStyle w:val="BodyText"/>
        <w:numPr>
          <w:ilvl w:val="0"/>
          <w:numId w:val="8"/>
        </w:numPr>
        <w:ind w:hanging="360" w:start="720" w:end="0"/>
        <w:rPr>
          <w:b w:val="false"/>
          <w:bCs w:val="false"/>
          <w:i w:val="false"/>
          <w:i w:val="false"/>
          <w:iCs w:val="false"/>
        </w:rPr>
      </w:pPr>
      <w:r>
        <w:rPr>
          <w:b w:val="false"/>
          <w:bCs w:val="false"/>
          <w:i w:val="false"/>
          <w:iCs w:val="false"/>
        </w:rPr>
        <w:t>End-use customers will also receive the benefit of the rebate payable by OPG under the Market Power Mitigation Agreement.  This will have the effect of further reducing the cost of electricity to end-use customers.</w:t>
      </w:r>
    </w:p>
    <w:p>
      <w:pPr>
        <w:pStyle w:val="BodyText"/>
        <w:ind w:hanging="360" w:start="720" w:end="0"/>
        <w:rPr>
          <w:b w:val="false"/>
          <w:bCs w:val="false"/>
          <w:i w:val="false"/>
          <w:i w:val="false"/>
          <w:iCs w:val="false"/>
        </w:rPr>
      </w:pPr>
      <w:r>
        <w:rPr>
          <w:b w:val="false"/>
          <w:bCs w:val="false"/>
          <w:i w:val="false"/>
          <w:iCs w:val="false"/>
        </w:rPr>
      </w:r>
    </w:p>
    <w:p>
      <w:pPr>
        <w:pStyle w:val="BodyText"/>
        <w:numPr>
          <w:ilvl w:val="0"/>
          <w:numId w:val="8"/>
        </w:numPr>
        <w:ind w:hanging="360" w:start="720" w:end="0"/>
        <w:rPr>
          <w:i w:val="false"/>
          <w:i w:val="false"/>
          <w:iCs w:val="false"/>
        </w:rPr>
      </w:pPr>
      <w:r>
        <w:rPr>
          <w:b w:val="false"/>
          <w:bCs w:val="false"/>
          <w:i w:val="false"/>
          <w:iCs w:val="false"/>
        </w:rPr>
        <w:t>In other words, Enron sees no risk of “price shock” to end-use consumers as a consequence of opening the market.</w:t>
      </w:r>
    </w:p>
    <w:p>
      <w:pPr>
        <w:pStyle w:val="BodyText"/>
        <w:ind w:hanging="360" w:start="720" w:end="0"/>
        <w:rPr>
          <w:i w:val="false"/>
          <w:i w:val="false"/>
          <w:iCs w:val="false"/>
        </w:rPr>
      </w:pPr>
      <w:r>
        <w:rPr>
          <w:i w:val="false"/>
          <w:iCs w:val="false"/>
        </w:rPr>
      </w:r>
    </w:p>
    <w:p>
      <w:pPr>
        <w:pStyle w:val="BodyText"/>
        <w:ind w:hanging="1440" w:start="1440" w:end="0"/>
        <w:rPr>
          <w:i w:val="false"/>
          <w:i w:val="false"/>
          <w:iCs w:val="false"/>
        </w:rPr>
      </w:pPr>
      <w:r>
        <w:rPr>
          <w:i w:val="false"/>
          <w:iCs w:val="false"/>
        </w:rPr>
      </w:r>
    </w:p>
    <w:p>
      <w:pPr>
        <w:pStyle w:val="BodyText"/>
        <w:ind w:hanging="1440" w:start="1440" w:end="0"/>
        <w:rPr>
          <w:i w:val="false"/>
          <w:i w:val="false"/>
          <w:iCs w:val="false"/>
        </w:rPr>
      </w:pPr>
      <w:r>
        <w:rPr>
          <w:i w:val="false"/>
          <w:iCs w:val="false"/>
        </w:rPr>
        <w:t>Concern 3:</w:t>
        <w:tab/>
        <w:t>Concern that the market should not open until the return to service of the first Pickering A unit.</w:t>
      </w:r>
    </w:p>
    <w:p>
      <w:pPr>
        <w:pStyle w:val="BodyText"/>
        <w:ind w:hanging="1440" w:start="1440" w:end="0"/>
        <w:rPr>
          <w:b w:val="false"/>
          <w:bCs w:val="false"/>
          <w:i w:val="false"/>
          <w:i w:val="false"/>
          <w:iCs w:val="false"/>
        </w:rPr>
      </w:pPr>
      <w:r>
        <w:rPr>
          <w:b w:val="false"/>
          <w:bCs w:val="false"/>
          <w:i w:val="false"/>
          <w:iCs w:val="false"/>
        </w:rPr>
      </w:r>
    </w:p>
    <w:p>
      <w:pPr>
        <w:pStyle w:val="BodyText"/>
        <w:numPr>
          <w:ilvl w:val="0"/>
          <w:numId w:val="9"/>
        </w:numPr>
        <w:ind w:hanging="360" w:start="720" w:end="0"/>
        <w:rPr>
          <w:b w:val="false"/>
          <w:bCs w:val="false"/>
          <w:i w:val="false"/>
          <w:i w:val="false"/>
          <w:iCs w:val="false"/>
        </w:rPr>
      </w:pPr>
      <w:r>
        <w:rPr>
          <w:b w:val="false"/>
          <w:bCs w:val="false"/>
          <w:i w:val="false"/>
          <w:iCs w:val="false"/>
        </w:rPr>
        <w:t>Some stakeholders have argued that the market should not be opened until the return to service of the first Pickering A nuclear unit (515 MW) on the basis that the return to service of the unit would enhance resource adequacy and stabilize prices.</w:t>
      </w:r>
    </w:p>
    <w:p>
      <w:pPr>
        <w:pStyle w:val="BodyText"/>
        <w:ind w:hanging="360" w:start="720" w:end="0"/>
        <w:rPr>
          <w:b w:val="false"/>
          <w:bCs w:val="false"/>
          <w:i w:val="false"/>
          <w:i w:val="false"/>
          <w:iCs w:val="false"/>
        </w:rPr>
      </w:pPr>
      <w:r>
        <w:rPr>
          <w:b w:val="false"/>
          <w:bCs w:val="false"/>
          <w:i w:val="false"/>
          <w:iCs w:val="false"/>
        </w:rPr>
      </w:r>
    </w:p>
    <w:p>
      <w:pPr>
        <w:pStyle w:val="BodyText"/>
        <w:numPr>
          <w:ilvl w:val="0"/>
          <w:numId w:val="9"/>
        </w:numPr>
        <w:ind w:hanging="360" w:start="720" w:end="0"/>
        <w:rPr>
          <w:b w:val="false"/>
          <w:bCs w:val="false"/>
          <w:i w:val="false"/>
          <w:i w:val="false"/>
          <w:iCs w:val="false"/>
        </w:rPr>
      </w:pPr>
      <w:r>
        <w:rPr>
          <w:b w:val="false"/>
          <w:bCs w:val="false"/>
          <w:i w:val="false"/>
          <w:iCs w:val="false"/>
        </w:rPr>
        <w:t>Enron’s view is that delaying market opening until the return to service of one or more of the Pickering A units would be the wrong public policy decision.</w:t>
      </w:r>
    </w:p>
    <w:p>
      <w:pPr>
        <w:pStyle w:val="BodyText"/>
        <w:ind w:hanging="360" w:start="720" w:end="0"/>
        <w:rPr>
          <w:b w:val="false"/>
          <w:bCs w:val="false"/>
          <w:i w:val="false"/>
          <w:i w:val="false"/>
          <w:iCs w:val="false"/>
        </w:rPr>
      </w:pPr>
      <w:r>
        <w:rPr>
          <w:b w:val="false"/>
          <w:bCs w:val="false"/>
          <w:i w:val="false"/>
          <w:iCs w:val="false"/>
        </w:rPr>
      </w:r>
    </w:p>
    <w:p>
      <w:pPr>
        <w:pStyle w:val="BodyText"/>
        <w:numPr>
          <w:ilvl w:val="0"/>
          <w:numId w:val="9"/>
        </w:numPr>
        <w:ind w:hanging="360" w:start="720" w:end="0"/>
        <w:rPr>
          <w:b w:val="false"/>
          <w:bCs w:val="false"/>
          <w:i w:val="false"/>
          <w:i w:val="false"/>
          <w:iCs w:val="false"/>
        </w:rPr>
      </w:pPr>
      <w:r>
        <w:rPr>
          <w:b w:val="false"/>
          <w:bCs w:val="false"/>
          <w:i w:val="false"/>
          <w:iCs w:val="false"/>
        </w:rPr>
        <w:t xml:space="preserve">Delaying market opening will not bring those Pickering units back on stream any earlier, but will delay investment in new generation resources.  </w:t>
      </w:r>
    </w:p>
    <w:p>
      <w:pPr>
        <w:pStyle w:val="BodyText"/>
        <w:ind w:hanging="360" w:start="720" w:end="0"/>
        <w:rPr>
          <w:b w:val="false"/>
          <w:bCs w:val="false"/>
          <w:i w:val="false"/>
          <w:i w:val="false"/>
          <w:iCs w:val="false"/>
        </w:rPr>
      </w:pPr>
      <w:r>
        <w:rPr>
          <w:b w:val="false"/>
          <w:bCs w:val="false"/>
          <w:i w:val="false"/>
          <w:iCs w:val="false"/>
        </w:rPr>
      </w:r>
    </w:p>
    <w:p>
      <w:pPr>
        <w:pStyle w:val="BodyText"/>
        <w:numPr>
          <w:ilvl w:val="0"/>
          <w:numId w:val="9"/>
        </w:numPr>
        <w:ind w:hanging="360" w:start="720" w:end="0"/>
        <w:rPr>
          <w:b w:val="false"/>
          <w:bCs w:val="false"/>
          <w:i w:val="false"/>
          <w:i w:val="false"/>
          <w:iCs w:val="false"/>
        </w:rPr>
      </w:pPr>
      <w:r>
        <w:rPr>
          <w:b w:val="false"/>
          <w:bCs w:val="false"/>
          <w:i w:val="false"/>
          <w:iCs w:val="false"/>
        </w:rPr>
        <w:t>Even without the Pickering A units, Ontario has a manageable reserve margin.  The effect of adding a 515 MW unit to the 600,000 MW Eastern Interconnect is negligible.</w:t>
      </w:r>
      <w:r>
        <w:br w:type="page"/>
      </w:r>
    </w:p>
    <w:p>
      <w:pPr>
        <w:pStyle w:val="BodyText"/>
        <w:ind w:hanging="360" w:start="720" w:end="0"/>
        <w:rPr>
          <w:b w:val="false"/>
          <w:bCs w:val="false"/>
          <w:i w:val="false"/>
          <w:i w:val="false"/>
          <w:iCs w:val="false"/>
        </w:rPr>
      </w:pPr>
      <w:r>
        <w:rPr>
          <w:b w:val="false"/>
          <w:bCs w:val="false"/>
          <w:i w:val="false"/>
          <w:iCs w:val="false"/>
        </w:rPr>
      </w:r>
    </w:p>
    <w:p>
      <w:pPr>
        <w:pStyle w:val="BodyText"/>
        <w:numPr>
          <w:ilvl w:val="0"/>
          <w:numId w:val="9"/>
        </w:numPr>
        <w:ind w:hanging="360" w:start="720" w:end="0"/>
        <w:rPr>
          <w:b w:val="false"/>
          <w:bCs w:val="false"/>
          <w:i w:val="false"/>
          <w:i w:val="false"/>
          <w:iCs w:val="false"/>
        </w:rPr>
      </w:pPr>
      <w:r>
        <w:rPr>
          <w:b w:val="false"/>
          <w:bCs w:val="false"/>
          <w:i w:val="false"/>
          <w:iCs w:val="false"/>
        </w:rPr>
        <w:t xml:space="preserve">OPG’s nuclear optimization programme is already significantly behind schedule and over budget.  Given that track record, we cannot say with confidence when the Pickering A units will in fact be operational.  The target date is December 31, 2001, but some informed industry observers say that the first unit may not, in fact, return to service until the second quarter of 2002.  </w:t>
      </w:r>
    </w:p>
    <w:p>
      <w:pPr>
        <w:pStyle w:val="BodyText"/>
        <w:ind w:hanging="360" w:start="720" w:end="0"/>
        <w:rPr>
          <w:b w:val="false"/>
          <w:bCs w:val="false"/>
          <w:i w:val="false"/>
          <w:i w:val="false"/>
          <w:iCs w:val="false"/>
        </w:rPr>
      </w:pPr>
      <w:r>
        <w:rPr>
          <w:b w:val="false"/>
          <w:bCs w:val="false"/>
          <w:i w:val="false"/>
          <w:iCs w:val="false"/>
        </w:rPr>
      </w:r>
    </w:p>
    <w:p>
      <w:pPr>
        <w:pStyle w:val="BodyText"/>
        <w:numPr>
          <w:ilvl w:val="0"/>
          <w:numId w:val="9"/>
        </w:numPr>
        <w:ind w:hanging="360" w:start="720" w:end="0"/>
        <w:rPr>
          <w:b w:val="false"/>
          <w:bCs w:val="false"/>
          <w:i w:val="false"/>
          <w:i w:val="false"/>
          <w:iCs w:val="false"/>
        </w:rPr>
      </w:pPr>
      <w:r>
        <w:rPr>
          <w:b w:val="false"/>
          <w:bCs w:val="false"/>
          <w:i w:val="false"/>
          <w:iCs w:val="false"/>
        </w:rPr>
        <w:t>Accordingly, making market opening conditional, in any way, on the return to service of the first Pickering A unit, would add considerably to the uncertainty among developers, new entrants, and prospective investors in OPG assets.</w:t>
      </w:r>
    </w:p>
    <w:p>
      <w:pPr>
        <w:pStyle w:val="BodyText"/>
        <w:ind w:hanging="360" w:start="720" w:end="0"/>
        <w:rPr>
          <w:b w:val="false"/>
          <w:bCs w:val="false"/>
          <w:i w:val="false"/>
          <w:i w:val="false"/>
          <w:iCs w:val="false"/>
        </w:rPr>
      </w:pPr>
      <w:r>
        <w:rPr>
          <w:b w:val="false"/>
          <w:bCs w:val="false"/>
          <w:i w:val="false"/>
          <w:iCs w:val="false"/>
        </w:rPr>
      </w:r>
    </w:p>
    <w:p>
      <w:pPr>
        <w:pStyle w:val="BodyText"/>
        <w:numPr>
          <w:ilvl w:val="0"/>
          <w:numId w:val="9"/>
        </w:numPr>
        <w:ind w:hanging="360" w:start="720" w:end="0"/>
        <w:rPr>
          <w:b w:val="false"/>
          <w:bCs w:val="false"/>
          <w:i w:val="false"/>
          <w:i w:val="false"/>
          <w:iCs w:val="false"/>
        </w:rPr>
      </w:pPr>
      <w:r>
        <w:rPr>
          <w:b w:val="false"/>
          <w:bCs w:val="false"/>
          <w:i w:val="false"/>
          <w:iCs w:val="false"/>
        </w:rPr>
        <w:t>Moreover, the return to service of the first Pickering A unit would have only a negligible impact on power prices in Ontario.  Enron’s comprehensive analysis of Ontario resources and prices indicates that the impact of the return of the first Pickering A unit on Ontario prices would be only 1 percent during Winter 2001-2002.</w:t>
      </w:r>
    </w:p>
    <w:p>
      <w:pPr>
        <w:pStyle w:val="BodyText"/>
        <w:ind w:hanging="360" w:start="720" w:end="0"/>
        <w:rPr>
          <w:b w:val="false"/>
          <w:bCs w:val="false"/>
          <w:i w:val="false"/>
          <w:i w:val="false"/>
          <w:iCs w:val="false"/>
        </w:rPr>
      </w:pPr>
      <w:r>
        <w:rPr>
          <w:b w:val="false"/>
          <w:bCs w:val="false"/>
          <w:i w:val="false"/>
          <w:iCs w:val="false"/>
        </w:rPr>
      </w:r>
    </w:p>
    <w:p>
      <w:pPr>
        <w:pStyle w:val="BodyText"/>
        <w:ind w:hanging="360" w:start="720" w:end="0"/>
        <w:rPr>
          <w:b w:val="false"/>
          <w:bCs w:val="false"/>
          <w:i w:val="false"/>
          <w:i w:val="false"/>
          <w:iCs w:val="false"/>
        </w:rPr>
      </w:pPr>
      <w:r>
        <w:rPr>
          <w:b w:val="false"/>
          <w:bCs w:val="false"/>
          <w:i w:val="false"/>
          <w:iCs w:val="false"/>
        </w:rPr>
      </w:r>
    </w:p>
    <w:p>
      <w:pPr>
        <w:pStyle w:val="BodyText"/>
        <w:ind w:hanging="1800" w:start="2160" w:end="0"/>
        <w:rPr>
          <w:i w:val="false"/>
          <w:i w:val="false"/>
          <w:iCs w:val="false"/>
        </w:rPr>
      </w:pPr>
      <w:r>
        <w:rPr>
          <w:i w:val="false"/>
          <w:iCs w:val="false"/>
        </w:rPr>
        <w:t xml:space="preserve">Concern 4:  </w:t>
        <w:tab/>
        <w:t>Concern that Ontario should not open the power market until OPG has divested or “decontrolled” more generation resources</w:t>
      </w:r>
    </w:p>
    <w:p>
      <w:pPr>
        <w:pStyle w:val="BodyText"/>
        <w:ind w:hanging="360" w:start="720" w:end="0"/>
        <w:rPr>
          <w:i w:val="false"/>
          <w:i w:val="false"/>
          <w:iCs w:val="false"/>
        </w:rPr>
      </w:pPr>
      <w:r>
        <w:rPr>
          <w:i w:val="false"/>
          <w:iCs w:val="false"/>
        </w:rPr>
      </w:r>
    </w:p>
    <w:p>
      <w:pPr>
        <w:pStyle w:val="BodyText"/>
        <w:numPr>
          <w:ilvl w:val="0"/>
          <w:numId w:val="13"/>
        </w:numPr>
        <w:ind w:hanging="360" w:start="720" w:end="0"/>
        <w:rPr>
          <w:b w:val="false"/>
          <w:bCs w:val="false"/>
          <w:i w:val="false"/>
          <w:i w:val="false"/>
          <w:iCs w:val="false"/>
        </w:rPr>
      </w:pPr>
      <w:r>
        <w:rPr>
          <w:b w:val="false"/>
          <w:bCs w:val="false"/>
          <w:i w:val="false"/>
          <w:iCs w:val="false"/>
        </w:rPr>
        <w:t>Some stakeholders are arguing that the Government should delay market opening until more of OPG’s generation assets have been divested or “decontrolled”.</w:t>
      </w:r>
    </w:p>
    <w:p>
      <w:pPr>
        <w:pStyle w:val="BodyText"/>
        <w:ind w:hanging="360" w:start="720" w:end="0"/>
        <w:rPr>
          <w:b w:val="false"/>
          <w:bCs w:val="false"/>
          <w:i w:val="false"/>
          <w:i w:val="false"/>
          <w:iCs w:val="false"/>
        </w:rPr>
      </w:pPr>
      <w:r>
        <w:rPr>
          <w:b w:val="false"/>
          <w:bCs w:val="false"/>
          <w:i w:val="false"/>
          <w:iCs w:val="false"/>
        </w:rPr>
      </w:r>
    </w:p>
    <w:p>
      <w:pPr>
        <w:pStyle w:val="BodyText"/>
        <w:numPr>
          <w:ilvl w:val="0"/>
          <w:numId w:val="13"/>
        </w:numPr>
        <w:ind w:hanging="360" w:start="720" w:end="0"/>
        <w:rPr>
          <w:b w:val="false"/>
          <w:bCs w:val="false"/>
          <w:i w:val="false"/>
          <w:i w:val="false"/>
          <w:iCs w:val="false"/>
        </w:rPr>
      </w:pPr>
      <w:r>
        <w:rPr>
          <w:b w:val="false"/>
          <w:bCs w:val="false"/>
          <w:i w:val="false"/>
          <w:iCs w:val="false"/>
        </w:rPr>
        <w:t>The adoption of this position by the Government would, in fact, represent a shift in Government policy – ever since the completion of the Market Power Mitigation Agreement (MPMA) in 1999, the Government’s position has been that it would not require OPG divestiture prior to opening the market; instead, it would, under the MPMA, set up a rebate mechanism to limit the monopoly rent that OPG could extract from the market and set divestiture/“decontrol” targets for OPG to meet within a specified time frame after market opening.</w:t>
      </w:r>
    </w:p>
    <w:p>
      <w:pPr>
        <w:pStyle w:val="BodyText"/>
        <w:ind w:hanging="360" w:start="720" w:end="0"/>
        <w:rPr>
          <w:b w:val="false"/>
          <w:bCs w:val="false"/>
          <w:i w:val="false"/>
          <w:i w:val="false"/>
          <w:iCs w:val="false"/>
        </w:rPr>
      </w:pPr>
      <w:r>
        <w:rPr>
          <w:b w:val="false"/>
          <w:bCs w:val="false"/>
          <w:i w:val="false"/>
          <w:iCs w:val="false"/>
        </w:rPr>
      </w:r>
    </w:p>
    <w:p>
      <w:pPr>
        <w:pStyle w:val="BodyText"/>
        <w:numPr>
          <w:ilvl w:val="0"/>
          <w:numId w:val="13"/>
        </w:numPr>
        <w:ind w:hanging="360" w:start="720" w:end="0"/>
        <w:rPr>
          <w:b w:val="false"/>
          <w:bCs w:val="false"/>
          <w:i w:val="false"/>
          <w:i w:val="false"/>
          <w:iCs w:val="false"/>
        </w:rPr>
      </w:pPr>
      <w:r>
        <w:rPr>
          <w:b w:val="false"/>
          <w:bCs w:val="false"/>
          <w:i w:val="false"/>
          <w:iCs w:val="false"/>
        </w:rPr>
        <w:t>Enron strongly supports the divestiture/“decontrol” of OPG assets but sees no reason why market opening should await the completion of the process recently initiated by OPG and its financial advisers.</w:t>
      </w:r>
    </w:p>
    <w:p>
      <w:pPr>
        <w:pStyle w:val="BodyText"/>
        <w:ind w:hanging="360" w:start="720" w:end="0"/>
        <w:rPr>
          <w:b w:val="false"/>
          <w:bCs w:val="false"/>
          <w:i w:val="false"/>
          <w:i w:val="false"/>
          <w:iCs w:val="false"/>
        </w:rPr>
      </w:pPr>
      <w:r>
        <w:rPr>
          <w:b w:val="false"/>
          <w:bCs w:val="false"/>
          <w:i w:val="false"/>
          <w:iCs w:val="false"/>
        </w:rPr>
      </w:r>
    </w:p>
    <w:p>
      <w:pPr>
        <w:pStyle w:val="BodyText"/>
        <w:numPr>
          <w:ilvl w:val="0"/>
          <w:numId w:val="13"/>
        </w:numPr>
        <w:ind w:hanging="360" w:start="720" w:end="0"/>
        <w:rPr>
          <w:b w:val="false"/>
          <w:bCs w:val="false"/>
          <w:i w:val="false"/>
          <w:i w:val="false"/>
          <w:iCs w:val="false"/>
        </w:rPr>
      </w:pPr>
      <w:r>
        <w:rPr>
          <w:b w:val="false"/>
          <w:bCs w:val="false"/>
          <w:i w:val="false"/>
          <w:iCs w:val="false"/>
        </w:rPr>
        <w:t>In our view, opening the market as soon as possible (i.e. November 2001) will actually enhance OPG’s plans to decontrol the Lakeview, Lennox, Thunder Bay, and Atikokan units and the hydraulic stations on the Mississagi River.</w:t>
      </w:r>
    </w:p>
    <w:p>
      <w:pPr>
        <w:pStyle w:val="BodyText"/>
        <w:ind w:hanging="360" w:start="720" w:end="0"/>
        <w:rPr>
          <w:b w:val="false"/>
          <w:bCs w:val="false"/>
          <w:i w:val="false"/>
          <w:i w:val="false"/>
          <w:iCs w:val="false"/>
        </w:rPr>
      </w:pPr>
      <w:r>
        <w:rPr>
          <w:b w:val="false"/>
          <w:bCs w:val="false"/>
          <w:i w:val="false"/>
          <w:iCs w:val="false"/>
        </w:rPr>
      </w:r>
    </w:p>
    <w:p>
      <w:pPr>
        <w:pStyle w:val="BodyText"/>
        <w:numPr>
          <w:ilvl w:val="0"/>
          <w:numId w:val="13"/>
        </w:numPr>
        <w:ind w:hanging="360" w:start="720" w:end="0"/>
        <w:rPr>
          <w:b w:val="false"/>
          <w:bCs w:val="false"/>
          <w:i w:val="false"/>
          <w:i w:val="false"/>
          <w:iCs w:val="false"/>
        </w:rPr>
      </w:pPr>
      <w:r>
        <w:rPr>
          <w:b w:val="false"/>
          <w:bCs w:val="false"/>
          <w:i w:val="false"/>
          <w:iCs w:val="false"/>
        </w:rPr>
        <w:t>On the other hand, continued delay and uncertainty will negatively impact the valuation of those assets.</w:t>
      </w:r>
    </w:p>
    <w:p>
      <w:pPr>
        <w:pStyle w:val="BodyText"/>
        <w:ind w:hanging="360" w:start="720" w:end="0"/>
        <w:rPr>
          <w:b w:val="false"/>
          <w:bCs w:val="false"/>
          <w:i w:val="false"/>
          <w:i w:val="false"/>
          <w:iCs w:val="false"/>
        </w:rPr>
      </w:pPr>
      <w:r>
        <w:rPr>
          <w:b w:val="false"/>
          <w:bCs w:val="false"/>
          <w:i w:val="false"/>
          <w:iCs w:val="false"/>
        </w:rPr>
      </w:r>
    </w:p>
    <w:p>
      <w:pPr>
        <w:pStyle w:val="BodyText"/>
        <w:numPr>
          <w:ilvl w:val="0"/>
          <w:numId w:val="13"/>
        </w:numPr>
        <w:ind w:hanging="360" w:start="720" w:end="0"/>
        <w:rPr>
          <w:b w:val="false"/>
          <w:bCs w:val="false"/>
          <w:i w:val="false"/>
          <w:i w:val="false"/>
          <w:iCs w:val="false"/>
        </w:rPr>
      </w:pPr>
      <w:r>
        <w:rPr>
          <w:b w:val="false"/>
          <w:bCs w:val="false"/>
          <w:i w:val="false"/>
          <w:iCs w:val="false"/>
        </w:rPr>
        <w:t>In the face of continuing uncertainty and delay regarding the restructuring of the Ontario electricity sector, prospective buyers of those assets will either: a) stay away altogether; or b) discount the price that they would otherwise pay for those OPG assets.</w:t>
      </w:r>
    </w:p>
    <w:p>
      <w:pPr>
        <w:pStyle w:val="BodyText"/>
        <w:ind w:hanging="360" w:start="720" w:end="0"/>
        <w:rPr>
          <w:b w:val="false"/>
          <w:bCs w:val="false"/>
          <w:i w:val="false"/>
          <w:i w:val="false"/>
          <w:iCs w:val="false"/>
        </w:rPr>
      </w:pPr>
      <w:r>
        <w:rPr>
          <w:b w:val="false"/>
          <w:bCs w:val="false"/>
          <w:i w:val="false"/>
          <w:iCs w:val="false"/>
        </w:rPr>
      </w:r>
    </w:p>
    <w:p>
      <w:pPr>
        <w:pStyle w:val="BodyText"/>
        <w:numPr>
          <w:ilvl w:val="0"/>
          <w:numId w:val="13"/>
        </w:numPr>
        <w:ind w:hanging="360" w:start="720" w:end="0"/>
        <w:rPr>
          <w:b w:val="false"/>
          <w:bCs w:val="false"/>
          <w:i w:val="false"/>
          <w:i w:val="false"/>
          <w:iCs w:val="false"/>
        </w:rPr>
      </w:pPr>
      <w:r>
        <w:rPr>
          <w:b w:val="false"/>
          <w:bCs w:val="false"/>
          <w:i w:val="false"/>
          <w:iCs w:val="false"/>
        </w:rPr>
        <w:t>Opening the market as soon as possible (i.e. November 2001), will reduce the risk in respect of the expected  cash flows from the plant, and, thereby, likely increase the price that prospective bidders would be prepared to pay.</w:t>
      </w:r>
    </w:p>
    <w:p>
      <w:pPr>
        <w:pStyle w:val="BodyText"/>
        <w:ind w:hanging="360" w:start="720" w:end="0"/>
        <w:rPr>
          <w:b w:val="false"/>
          <w:bCs w:val="false"/>
          <w:i w:val="false"/>
          <w:i w:val="false"/>
          <w:iCs w:val="false"/>
        </w:rPr>
      </w:pPr>
      <w:r>
        <w:rPr>
          <w:b w:val="false"/>
          <w:bCs w:val="false"/>
          <w:i w:val="false"/>
          <w:iCs w:val="false"/>
        </w:rPr>
      </w:r>
    </w:p>
    <w:p>
      <w:pPr>
        <w:pStyle w:val="BodyText"/>
        <w:numPr>
          <w:ilvl w:val="0"/>
          <w:numId w:val="13"/>
        </w:numPr>
        <w:ind w:hanging="360" w:start="720" w:end="0"/>
        <w:rPr>
          <w:b w:val="false"/>
          <w:bCs w:val="false"/>
          <w:i w:val="false"/>
          <w:i w:val="false"/>
          <w:iCs w:val="false"/>
        </w:rPr>
      </w:pPr>
      <w:r>
        <w:rPr>
          <w:b w:val="false"/>
          <w:bCs w:val="false"/>
          <w:i w:val="false"/>
          <w:iCs w:val="false"/>
        </w:rPr>
        <w:t>It is in the interests of the Government and all Ontario electricity consumers to ensure that OPG’s “decontrol” program yields the highest possible value.</w:t>
      </w:r>
    </w:p>
    <w:p>
      <w:pPr>
        <w:pStyle w:val="BodyText"/>
        <w:ind w:hanging="360" w:start="720" w:end="0"/>
        <w:rPr>
          <w:b w:val="false"/>
          <w:bCs w:val="false"/>
          <w:i w:val="false"/>
          <w:i w:val="false"/>
          <w:iCs w:val="false"/>
        </w:rPr>
      </w:pPr>
      <w:r>
        <w:rPr>
          <w:b w:val="false"/>
          <w:bCs w:val="false"/>
          <w:i w:val="false"/>
          <w:iCs w:val="false"/>
        </w:rPr>
      </w:r>
    </w:p>
    <w:p>
      <w:pPr>
        <w:pStyle w:val="BodyText"/>
        <w:numPr>
          <w:ilvl w:val="0"/>
          <w:numId w:val="13"/>
        </w:numPr>
        <w:ind w:hanging="360" w:start="720" w:end="0"/>
        <w:rPr>
          <w:b w:val="false"/>
          <w:bCs w:val="false"/>
          <w:i w:val="false"/>
          <w:i w:val="false"/>
          <w:iCs w:val="false"/>
        </w:rPr>
      </w:pPr>
      <w:r>
        <w:rPr>
          <w:b w:val="false"/>
          <w:bCs w:val="false"/>
          <w:i w:val="false"/>
          <w:iCs w:val="false"/>
        </w:rPr>
        <w:t>The best way to achieve the highest value is to attract as many potential buyers as possible and to reduce the uncertainty about the future of the Ontario electricity sector.</w:t>
      </w:r>
    </w:p>
    <w:p>
      <w:pPr>
        <w:pStyle w:val="BodyText"/>
        <w:ind w:hanging="360" w:start="720" w:end="0"/>
        <w:rPr>
          <w:b w:val="false"/>
          <w:bCs w:val="false"/>
          <w:i w:val="false"/>
          <w:i w:val="false"/>
          <w:iCs w:val="false"/>
        </w:rPr>
      </w:pPr>
      <w:r>
        <w:rPr>
          <w:b w:val="false"/>
          <w:bCs w:val="false"/>
          <w:i w:val="false"/>
          <w:iCs w:val="false"/>
        </w:rPr>
      </w:r>
    </w:p>
    <w:p>
      <w:pPr>
        <w:pStyle w:val="BodyText"/>
        <w:numPr>
          <w:ilvl w:val="0"/>
          <w:numId w:val="13"/>
        </w:numPr>
        <w:ind w:hanging="360" w:start="720" w:end="0"/>
        <w:rPr>
          <w:b w:val="false"/>
          <w:bCs w:val="false"/>
          <w:i w:val="false"/>
          <w:i w:val="false"/>
          <w:iCs w:val="false"/>
        </w:rPr>
      </w:pPr>
      <w:r>
        <w:rPr>
          <w:b w:val="false"/>
          <w:bCs w:val="false"/>
          <w:i w:val="false"/>
          <w:iCs w:val="false"/>
        </w:rPr>
        <w:t>The best way to attract interested parties and to reduce uncertainty is to open the market as soon as possible (i.e. November 2001).</w:t>
      </w:r>
    </w:p>
    <w:p>
      <w:pPr>
        <w:pStyle w:val="BodyText"/>
        <w:ind w:hanging="360" w:start="720" w:end="0"/>
        <w:rPr>
          <w:b w:val="false"/>
          <w:bCs w:val="false"/>
          <w:i w:val="false"/>
          <w:i w:val="false"/>
          <w:iCs w:val="false"/>
        </w:rPr>
      </w:pPr>
      <w:r>
        <w:rPr>
          <w:b w:val="false"/>
          <w:bCs w:val="false"/>
          <w:i w:val="false"/>
          <w:iCs w:val="false"/>
        </w:rPr>
      </w:r>
    </w:p>
    <w:p>
      <w:pPr>
        <w:pStyle w:val="BodyText"/>
        <w:numPr>
          <w:ilvl w:val="0"/>
          <w:numId w:val="13"/>
        </w:numPr>
        <w:ind w:hanging="360" w:start="720" w:end="0"/>
        <w:rPr>
          <w:b w:val="false"/>
          <w:bCs w:val="false"/>
          <w:i w:val="false"/>
          <w:i w:val="false"/>
          <w:iCs w:val="false"/>
        </w:rPr>
      </w:pPr>
      <w:r>
        <w:rPr>
          <w:b w:val="false"/>
          <w:bCs w:val="false"/>
          <w:i w:val="false"/>
          <w:iCs w:val="false"/>
        </w:rPr>
        <w:t>In the eyes of many potential investors, May 2002 is not a credible market opening date/target.  The concern is that, by May 2002, we will be running up against election planning and that there will be many within the governing Progressive Conservative Party who will be pushing to delay market opening until after the next election.  The election would not normally be expected until 2003 but some speculate that it could come as early as Fall 2002.</w:t>
      </w:r>
    </w:p>
    <w:p>
      <w:pPr>
        <w:pStyle w:val="BodyText"/>
        <w:ind w:hanging="360" w:start="720" w:end="0"/>
        <w:rPr>
          <w:b w:val="false"/>
          <w:bCs w:val="false"/>
          <w:i w:val="false"/>
          <w:i w:val="false"/>
          <w:iCs w:val="false"/>
        </w:rPr>
      </w:pPr>
      <w:r>
        <w:rPr>
          <w:b w:val="false"/>
          <w:bCs w:val="false"/>
          <w:i w:val="false"/>
          <w:iCs w:val="false"/>
        </w:rPr>
      </w:r>
    </w:p>
    <w:p>
      <w:pPr>
        <w:pStyle w:val="BodyText"/>
        <w:ind w:hanging="360" w:start="720" w:end="0"/>
        <w:rPr>
          <w:b w:val="false"/>
          <w:bCs w:val="false"/>
          <w:i w:val="false"/>
          <w:i w:val="false"/>
          <w:iCs w:val="false"/>
        </w:rPr>
      </w:pPr>
      <w:r>
        <w:rPr>
          <w:b w:val="false"/>
          <w:bCs w:val="false"/>
          <w:i w:val="false"/>
          <w:iCs w:val="false"/>
        </w:rPr>
      </w:r>
    </w:p>
    <w:p>
      <w:pPr>
        <w:pStyle w:val="BodyText"/>
        <w:ind w:hanging="360" w:start="720" w:end="0"/>
        <w:rPr>
          <w:b w:val="false"/>
          <w:bCs w:val="false"/>
          <w:i w:val="false"/>
          <w:i w:val="false"/>
          <w:iCs w:val="false"/>
        </w:rPr>
      </w:pPr>
      <w:r>
        <w:rPr>
          <w:i w:val="false"/>
          <w:iCs w:val="false"/>
        </w:rPr>
        <w:t>VI.</w:t>
        <w:tab/>
      </w:r>
      <w:r>
        <w:rPr>
          <w:i w:val="false"/>
          <w:iCs w:val="false"/>
          <w:u w:val="single"/>
        </w:rPr>
        <w:t>Differences Between California and Ontario</w:t>
      </w:r>
    </w:p>
    <w:p>
      <w:pPr>
        <w:pStyle w:val="BodyText"/>
        <w:ind w:hanging="360" w:start="720" w:end="0"/>
        <w:rPr>
          <w:b w:val="false"/>
          <w:bCs w:val="false"/>
          <w:i w:val="false"/>
          <w:i w:val="false"/>
          <w:iCs w:val="false"/>
        </w:rPr>
      </w:pPr>
      <w:r>
        <w:rPr>
          <w:b w:val="false"/>
          <w:bCs w:val="false"/>
          <w:i w:val="false"/>
          <w:iCs w:val="false"/>
        </w:rPr>
      </w:r>
    </w:p>
    <w:p>
      <w:pPr>
        <w:pStyle w:val="BodyText"/>
        <w:numPr>
          <w:ilvl w:val="0"/>
          <w:numId w:val="14"/>
        </w:numPr>
        <w:ind w:hanging="360" w:start="720" w:end="0"/>
        <w:rPr>
          <w:b w:val="false"/>
          <w:bCs w:val="false"/>
          <w:i w:val="false"/>
          <w:i w:val="false"/>
          <w:iCs w:val="false"/>
        </w:rPr>
      </w:pPr>
      <w:r>
        <w:rPr>
          <w:b w:val="false"/>
          <w:bCs w:val="false"/>
          <w:i w:val="false"/>
          <w:iCs w:val="false"/>
        </w:rPr>
        <w:t>From Enron’s perspective, it is worthwhile highlighting three circumstances that make Ontario fundamentally different from California.</w:t>
      </w:r>
    </w:p>
    <w:p>
      <w:pPr>
        <w:pStyle w:val="BodyText"/>
        <w:ind w:hanging="360" w:start="720" w:end="0"/>
        <w:rPr>
          <w:b w:val="false"/>
          <w:bCs w:val="false"/>
          <w:i w:val="false"/>
          <w:i w:val="false"/>
          <w:iCs w:val="false"/>
        </w:rPr>
      </w:pPr>
      <w:r>
        <w:rPr>
          <w:b w:val="false"/>
          <w:bCs w:val="false"/>
          <w:i w:val="false"/>
          <w:iCs w:val="false"/>
        </w:rPr>
      </w:r>
    </w:p>
    <w:p>
      <w:pPr>
        <w:pStyle w:val="BodyText"/>
        <w:numPr>
          <w:ilvl w:val="0"/>
          <w:numId w:val="14"/>
        </w:numPr>
        <w:ind w:hanging="360" w:start="720" w:end="0"/>
        <w:rPr>
          <w:b w:val="false"/>
          <w:bCs w:val="false"/>
          <w:i w:val="false"/>
          <w:i w:val="false"/>
          <w:iCs w:val="false"/>
        </w:rPr>
      </w:pPr>
      <w:r>
        <w:rPr>
          <w:b w:val="false"/>
          <w:bCs w:val="false"/>
          <w:i w:val="false"/>
          <w:iCs w:val="false"/>
          <w:u w:val="single"/>
        </w:rPr>
        <w:t>First</w:t>
      </w:r>
      <w:r>
        <w:rPr>
          <w:b w:val="false"/>
          <w:bCs w:val="false"/>
          <w:i w:val="false"/>
          <w:iCs w:val="false"/>
        </w:rPr>
        <w:t xml:space="preserve">, is the demand/supply balance – California has </w:t>
      </w:r>
      <w:r>
        <w:rPr>
          <w:b w:val="false"/>
          <w:bCs w:val="false"/>
          <w:i w:val="false"/>
          <w:iCs w:val="false"/>
          <w:u w:val="single"/>
        </w:rPr>
        <w:t>no</w:t>
      </w:r>
      <w:r>
        <w:rPr>
          <w:b w:val="false"/>
          <w:bCs w:val="false"/>
          <w:i w:val="false"/>
          <w:iCs w:val="false"/>
        </w:rPr>
        <w:t xml:space="preserve"> reserve margins, hence the periodic rolling blackouts Californians are suffering through:</w:t>
      </w:r>
    </w:p>
    <w:p>
      <w:pPr>
        <w:pStyle w:val="BodyText"/>
        <w:ind w:hanging="360" w:start="720" w:end="0"/>
        <w:rPr>
          <w:b w:val="false"/>
          <w:bCs w:val="false"/>
          <w:i w:val="false"/>
          <w:i w:val="false"/>
          <w:iCs w:val="false"/>
        </w:rPr>
      </w:pPr>
      <w:r>
        <w:rPr>
          <w:b w:val="false"/>
          <w:bCs w:val="false"/>
          <w:i w:val="false"/>
          <w:iCs w:val="false"/>
        </w:rPr>
      </w:r>
    </w:p>
    <w:p>
      <w:pPr>
        <w:pStyle w:val="BodyText"/>
        <w:numPr>
          <w:ilvl w:val="1"/>
          <w:numId w:val="14"/>
        </w:numPr>
        <w:ind w:hanging="360" w:start="1080" w:end="0"/>
        <w:rPr>
          <w:b w:val="false"/>
          <w:bCs w:val="false"/>
          <w:i w:val="false"/>
          <w:i w:val="false"/>
          <w:iCs w:val="false"/>
        </w:rPr>
      </w:pPr>
      <w:r>
        <w:rPr>
          <w:b w:val="false"/>
          <w:bCs w:val="false"/>
          <w:i w:val="false"/>
          <w:iCs w:val="false"/>
        </w:rPr>
        <w:t>The reserve margin in Ontario is far better; the IMO has indicated that Ontario’s forecasted margins meet the applicable adequacy standards.</w:t>
      </w:r>
    </w:p>
    <w:p>
      <w:pPr>
        <w:pStyle w:val="BodyText"/>
        <w:ind w:hanging="360" w:start="1080" w:end="0"/>
        <w:rPr>
          <w:b w:val="false"/>
          <w:bCs w:val="false"/>
          <w:i w:val="false"/>
          <w:i w:val="false"/>
          <w:iCs w:val="false"/>
        </w:rPr>
      </w:pPr>
      <w:r>
        <w:rPr>
          <w:b w:val="false"/>
          <w:bCs w:val="false"/>
          <w:i w:val="false"/>
          <w:iCs w:val="false"/>
        </w:rPr>
      </w:r>
    </w:p>
    <w:p>
      <w:pPr>
        <w:pStyle w:val="BodyText"/>
        <w:numPr>
          <w:ilvl w:val="1"/>
          <w:numId w:val="14"/>
        </w:numPr>
        <w:ind w:hanging="360" w:start="1080" w:end="0"/>
        <w:rPr>
          <w:b w:val="false"/>
          <w:bCs w:val="false"/>
          <w:i w:val="false"/>
          <w:i w:val="false"/>
          <w:iCs w:val="false"/>
        </w:rPr>
      </w:pPr>
      <w:r>
        <w:rPr>
          <w:b w:val="false"/>
          <w:bCs w:val="false"/>
          <w:i w:val="false"/>
          <w:iCs w:val="false"/>
        </w:rPr>
        <w:t>The IMO’s assessment is consistent with Enron’s own analysis – Enron estimates that over the Winter 2001-2002, Ontario will have reserve margins in the range of 15 – 17%.</w:t>
      </w:r>
    </w:p>
    <w:p>
      <w:pPr>
        <w:pStyle w:val="BodyText"/>
        <w:ind w:hanging="360" w:start="720" w:end="0"/>
        <w:rPr>
          <w:b w:val="false"/>
          <w:bCs w:val="false"/>
          <w:i w:val="false"/>
          <w:i w:val="false"/>
          <w:iCs w:val="false"/>
        </w:rPr>
      </w:pPr>
      <w:r>
        <w:rPr>
          <w:b w:val="false"/>
          <w:bCs w:val="false"/>
          <w:i w:val="false"/>
          <w:iCs w:val="false"/>
        </w:rPr>
      </w:r>
    </w:p>
    <w:p>
      <w:pPr>
        <w:pStyle w:val="BodyText"/>
        <w:numPr>
          <w:ilvl w:val="0"/>
          <w:numId w:val="14"/>
        </w:numPr>
        <w:ind w:hanging="360" w:start="720" w:end="0"/>
        <w:rPr>
          <w:b w:val="false"/>
          <w:bCs w:val="false"/>
          <w:i w:val="false"/>
          <w:i w:val="false"/>
          <w:iCs w:val="false"/>
        </w:rPr>
      </w:pPr>
      <w:r>
        <w:rPr>
          <w:b w:val="false"/>
          <w:bCs w:val="false"/>
          <w:i w:val="false"/>
          <w:iCs w:val="false"/>
          <w:u w:val="single"/>
        </w:rPr>
        <w:t>Second</w:t>
      </w:r>
      <w:r>
        <w:rPr>
          <w:b w:val="false"/>
          <w:bCs w:val="false"/>
          <w:i w:val="false"/>
          <w:iCs w:val="false"/>
        </w:rPr>
        <w:t>, is the greater scope in Ontario for demand-side response to price signals:</w:t>
      </w:r>
    </w:p>
    <w:p>
      <w:pPr>
        <w:pStyle w:val="BodyText"/>
        <w:ind w:hanging="360" w:start="720" w:end="0"/>
        <w:rPr>
          <w:b w:val="false"/>
          <w:bCs w:val="false"/>
          <w:i w:val="false"/>
          <w:i w:val="false"/>
          <w:iCs w:val="false"/>
        </w:rPr>
      </w:pPr>
      <w:r>
        <w:rPr>
          <w:b w:val="false"/>
          <w:bCs w:val="false"/>
          <w:i w:val="false"/>
          <w:iCs w:val="false"/>
        </w:rPr>
      </w:r>
    </w:p>
    <w:p>
      <w:pPr>
        <w:pStyle w:val="BodyText"/>
        <w:numPr>
          <w:ilvl w:val="1"/>
          <w:numId w:val="14"/>
        </w:numPr>
        <w:ind w:hanging="360" w:start="1080" w:end="0"/>
        <w:rPr>
          <w:b w:val="false"/>
          <w:bCs w:val="false"/>
          <w:i w:val="false"/>
          <w:i w:val="false"/>
          <w:iCs w:val="false"/>
        </w:rPr>
      </w:pPr>
      <w:r>
        <w:rPr>
          <w:b w:val="false"/>
          <w:bCs w:val="false"/>
          <w:i w:val="false"/>
          <w:iCs w:val="false"/>
        </w:rPr>
        <w:t>In California, the regulator capped retail prices charged by the incumbent utilities at levels significantly below the prevailing wholesale market prices; accordingly, customers did not – and still do not – see the true cost of power they are consuming.</w:t>
      </w:r>
    </w:p>
    <w:p>
      <w:pPr>
        <w:pStyle w:val="BodyText"/>
        <w:ind w:hanging="360" w:start="1080" w:end="0"/>
        <w:rPr>
          <w:b w:val="false"/>
          <w:bCs w:val="false"/>
          <w:i w:val="false"/>
          <w:i w:val="false"/>
          <w:iCs w:val="false"/>
        </w:rPr>
      </w:pPr>
      <w:r>
        <w:rPr>
          <w:b w:val="false"/>
          <w:bCs w:val="false"/>
          <w:i w:val="false"/>
          <w:iCs w:val="false"/>
        </w:rPr>
      </w:r>
    </w:p>
    <w:p>
      <w:pPr>
        <w:pStyle w:val="BodyText"/>
        <w:numPr>
          <w:ilvl w:val="1"/>
          <w:numId w:val="14"/>
        </w:numPr>
        <w:ind w:hanging="360" w:start="1080" w:end="0"/>
        <w:rPr>
          <w:b w:val="false"/>
          <w:bCs w:val="false"/>
          <w:i w:val="false"/>
          <w:i w:val="false"/>
          <w:iCs w:val="false"/>
        </w:rPr>
      </w:pPr>
      <w:r>
        <w:rPr>
          <w:b w:val="false"/>
          <w:bCs w:val="false"/>
          <w:i w:val="false"/>
          <w:iCs w:val="false"/>
        </w:rPr>
        <w:t>In Ontario, there is far greater scope for consumers to respond to and reduce consumption in response to spot price signals.</w:t>
      </w:r>
    </w:p>
    <w:p>
      <w:pPr>
        <w:pStyle w:val="BodyText"/>
        <w:ind w:hanging="360" w:start="1080" w:end="0"/>
        <w:rPr>
          <w:b w:val="false"/>
          <w:bCs w:val="false"/>
          <w:i w:val="false"/>
          <w:i w:val="false"/>
          <w:iCs w:val="false"/>
        </w:rPr>
      </w:pPr>
      <w:r>
        <w:rPr>
          <w:b w:val="false"/>
          <w:bCs w:val="false"/>
          <w:i w:val="false"/>
          <w:iCs w:val="false"/>
        </w:rPr>
      </w:r>
    </w:p>
    <w:p>
      <w:pPr>
        <w:pStyle w:val="BodyText"/>
        <w:numPr>
          <w:ilvl w:val="1"/>
          <w:numId w:val="14"/>
        </w:numPr>
        <w:ind w:hanging="360" w:start="1080" w:end="0"/>
        <w:rPr>
          <w:b w:val="false"/>
          <w:bCs w:val="false"/>
          <w:i w:val="false"/>
          <w:i w:val="false"/>
          <w:iCs w:val="false"/>
        </w:rPr>
      </w:pPr>
      <w:r>
        <w:rPr>
          <w:b w:val="false"/>
          <w:bCs w:val="false"/>
          <w:i w:val="false"/>
          <w:iCs w:val="false"/>
        </w:rPr>
        <w:t>With an open Ontario market with real time spot pricing, a relatively small amount of demand-side response by industrial and commercial customers will serve to reduce peak demand and, as a consequence, mitigate peak prices.</w:t>
      </w:r>
    </w:p>
    <w:p>
      <w:pPr>
        <w:pStyle w:val="BodyText"/>
        <w:ind w:hanging="360" w:start="1080" w:end="0"/>
        <w:rPr>
          <w:b w:val="false"/>
          <w:bCs w:val="false"/>
          <w:i w:val="false"/>
          <w:i w:val="false"/>
          <w:iCs w:val="false"/>
        </w:rPr>
      </w:pPr>
      <w:r>
        <w:rPr>
          <w:b w:val="false"/>
          <w:bCs w:val="false"/>
          <w:i w:val="false"/>
          <w:iCs w:val="false"/>
        </w:rPr>
      </w:r>
    </w:p>
    <w:p>
      <w:pPr>
        <w:pStyle w:val="BodyText"/>
        <w:numPr>
          <w:ilvl w:val="1"/>
          <w:numId w:val="14"/>
        </w:numPr>
        <w:ind w:hanging="360" w:start="1080" w:end="0"/>
        <w:rPr>
          <w:b w:val="false"/>
          <w:bCs w:val="false"/>
          <w:i w:val="false"/>
          <w:i w:val="false"/>
          <w:iCs w:val="false"/>
        </w:rPr>
      </w:pPr>
      <w:r>
        <w:rPr>
          <w:b w:val="false"/>
          <w:bCs w:val="false"/>
          <w:i w:val="false"/>
          <w:iCs w:val="false"/>
        </w:rPr>
        <w:t>This point is well illustrated by a recent study by the Electric Power Research Institute that estimated that last year (2000) in the California market, a 2.5% reduction in load could have reduced wholesale prices by about 24%.</w:t>
      </w:r>
      <w:r>
        <w:br w:type="page"/>
      </w:r>
    </w:p>
    <w:p>
      <w:pPr>
        <w:pStyle w:val="BodyText"/>
        <w:ind w:hanging="360" w:start="720" w:end="0"/>
        <w:rPr>
          <w:b w:val="false"/>
          <w:bCs w:val="false"/>
          <w:i w:val="false"/>
          <w:i w:val="false"/>
          <w:iCs w:val="false"/>
        </w:rPr>
      </w:pPr>
      <w:r>
        <w:rPr>
          <w:b w:val="false"/>
          <w:bCs w:val="false"/>
          <w:i w:val="false"/>
          <w:iCs w:val="false"/>
        </w:rPr>
      </w:r>
    </w:p>
    <w:p>
      <w:pPr>
        <w:pStyle w:val="BodyText"/>
        <w:numPr>
          <w:ilvl w:val="2"/>
          <w:numId w:val="14"/>
        </w:numPr>
        <w:ind w:hanging="360" w:start="720" w:end="0"/>
        <w:rPr>
          <w:b w:val="false"/>
          <w:bCs w:val="false"/>
          <w:i w:val="false"/>
          <w:i w:val="false"/>
          <w:iCs w:val="false"/>
        </w:rPr>
      </w:pPr>
      <w:r>
        <w:rPr>
          <w:b w:val="false"/>
          <w:bCs w:val="false"/>
          <w:i w:val="false"/>
          <w:iCs w:val="false"/>
          <w:u w:val="single"/>
        </w:rPr>
        <w:t>Third</w:t>
      </w:r>
      <w:r>
        <w:rPr>
          <w:b w:val="false"/>
          <w:bCs w:val="false"/>
          <w:i w:val="false"/>
          <w:iCs w:val="false"/>
        </w:rPr>
        <w:t>, Ontario has adopted a range of mechanisms to provide price protection to end-use consumers, but have done so in a way that does not adversely impact on the financial position of the distributors or the Province:</w:t>
      </w:r>
    </w:p>
    <w:p>
      <w:pPr>
        <w:pStyle w:val="BodyText"/>
        <w:ind w:hanging="360" w:start="720" w:end="0"/>
        <w:rPr>
          <w:b w:val="false"/>
          <w:bCs w:val="false"/>
          <w:i w:val="false"/>
          <w:i w:val="false"/>
          <w:iCs w:val="false"/>
        </w:rPr>
      </w:pPr>
      <w:r>
        <w:rPr>
          <w:b w:val="false"/>
          <w:bCs w:val="false"/>
          <w:i w:val="false"/>
          <w:iCs w:val="false"/>
        </w:rPr>
      </w:r>
    </w:p>
    <w:p>
      <w:pPr>
        <w:pStyle w:val="BodyText"/>
        <w:numPr>
          <w:ilvl w:val="1"/>
          <w:numId w:val="14"/>
        </w:numPr>
        <w:ind w:hanging="360" w:start="1080" w:end="0"/>
        <w:rPr>
          <w:b w:val="false"/>
          <w:bCs w:val="false"/>
          <w:i w:val="false"/>
          <w:i w:val="false"/>
          <w:iCs w:val="false"/>
        </w:rPr>
      </w:pPr>
      <w:r>
        <w:rPr>
          <w:b w:val="false"/>
          <w:bCs w:val="false"/>
          <w:i w:val="false"/>
          <w:iCs w:val="false"/>
        </w:rPr>
        <w:t>In Ontario, all consumers are entitled to the rebate payable by OPG under the Market Power Mitigation Agreement.</w:t>
      </w:r>
    </w:p>
    <w:p>
      <w:pPr>
        <w:pStyle w:val="BodyText"/>
        <w:ind w:hanging="360" w:start="1080" w:end="0"/>
        <w:rPr>
          <w:b w:val="false"/>
          <w:bCs w:val="false"/>
          <w:i w:val="false"/>
          <w:i w:val="false"/>
          <w:iCs w:val="false"/>
        </w:rPr>
      </w:pPr>
      <w:r>
        <w:rPr>
          <w:b w:val="false"/>
          <w:bCs w:val="false"/>
          <w:i w:val="false"/>
          <w:iCs w:val="false"/>
        </w:rPr>
      </w:r>
    </w:p>
    <w:p>
      <w:pPr>
        <w:pStyle w:val="BodyText"/>
        <w:numPr>
          <w:ilvl w:val="1"/>
          <w:numId w:val="14"/>
        </w:numPr>
        <w:ind w:hanging="360" w:start="1080" w:end="0"/>
        <w:rPr>
          <w:b w:val="false"/>
          <w:bCs w:val="false"/>
          <w:i w:val="false"/>
          <w:i w:val="false"/>
          <w:iCs w:val="false"/>
        </w:rPr>
      </w:pPr>
      <w:r>
        <w:rPr>
          <w:b w:val="false"/>
          <w:bCs w:val="false"/>
          <w:i w:val="false"/>
          <w:iCs w:val="false"/>
        </w:rPr>
        <w:t>Standard supply service offered by distributors to those customers who have not switched to retailers will be priced in a fashion that “smooths” out price volatility over the course of the year.</w:t>
      </w:r>
    </w:p>
    <w:p>
      <w:pPr>
        <w:pStyle w:val="BodyText"/>
        <w:ind w:hanging="360" w:start="1080" w:end="0"/>
        <w:rPr>
          <w:b w:val="false"/>
          <w:bCs w:val="false"/>
          <w:i w:val="false"/>
          <w:i w:val="false"/>
          <w:iCs w:val="false"/>
        </w:rPr>
      </w:pPr>
      <w:r>
        <w:rPr>
          <w:b w:val="false"/>
          <w:bCs w:val="false"/>
          <w:i w:val="false"/>
          <w:iCs w:val="false"/>
        </w:rPr>
      </w:r>
    </w:p>
    <w:p>
      <w:pPr>
        <w:pStyle w:val="BodyText"/>
        <w:numPr>
          <w:ilvl w:val="1"/>
          <w:numId w:val="14"/>
        </w:numPr>
        <w:ind w:hanging="360" w:start="1080" w:end="0"/>
        <w:rPr>
          <w:b w:val="false"/>
          <w:bCs w:val="false"/>
          <w:i w:val="false"/>
          <w:i w:val="false"/>
          <w:iCs w:val="false"/>
        </w:rPr>
      </w:pPr>
      <w:r>
        <w:rPr>
          <w:b w:val="false"/>
          <w:bCs w:val="false"/>
          <w:i w:val="false"/>
          <w:iCs w:val="false"/>
        </w:rPr>
        <w:t>Many large industrial customers will, for several years after the market opens, be entitled to continue receiving power from OPG at preferential “transitional rates” in respect of part of their demand.</w:t>
      </w:r>
    </w:p>
    <w:p>
      <w:pPr>
        <w:pStyle w:val="BodyText"/>
        <w:ind w:hanging="360" w:start="1080" w:end="0"/>
        <w:rPr>
          <w:b w:val="false"/>
          <w:bCs w:val="false"/>
          <w:i w:val="false"/>
          <w:i w:val="false"/>
          <w:iCs w:val="false"/>
        </w:rPr>
      </w:pPr>
      <w:r>
        <w:rPr>
          <w:b w:val="false"/>
          <w:bCs w:val="false"/>
          <w:i w:val="false"/>
          <w:iCs w:val="false"/>
        </w:rPr>
      </w:r>
    </w:p>
    <w:p>
      <w:pPr>
        <w:pStyle w:val="BodyText"/>
        <w:numPr>
          <w:ilvl w:val="1"/>
          <w:numId w:val="14"/>
        </w:numPr>
        <w:ind w:hanging="360" w:start="1080" w:end="0"/>
        <w:rPr>
          <w:b w:val="false"/>
          <w:bCs w:val="false"/>
          <w:i w:val="false"/>
          <w:i w:val="false"/>
          <w:iCs w:val="false"/>
        </w:rPr>
      </w:pPr>
      <w:r>
        <w:rPr>
          <w:b w:val="false"/>
          <w:bCs w:val="false"/>
          <w:i w:val="false"/>
          <w:iCs w:val="false"/>
        </w:rPr>
        <w:t>However, none of these mechanisms expose the distributors or the Province financially:  the distributors are allowed to recover over time all their wholesale power costs; the cost of the MPMA rebate and the “transitional rates” subsidy is being absorbed by OPG.</w:t>
      </w:r>
    </w:p>
    <w:p>
      <w:pPr>
        <w:pStyle w:val="BodyText"/>
        <w:ind w:hanging="360" w:start="1080" w:end="0"/>
        <w:rPr>
          <w:b w:val="false"/>
          <w:bCs w:val="false"/>
          <w:i w:val="false"/>
          <w:i w:val="false"/>
          <w:iCs w:val="false"/>
        </w:rPr>
      </w:pPr>
      <w:r>
        <w:rPr>
          <w:b w:val="false"/>
          <w:bCs w:val="false"/>
          <w:i w:val="false"/>
          <w:iCs w:val="false"/>
        </w:rPr>
      </w:r>
    </w:p>
    <w:p>
      <w:pPr>
        <w:pStyle w:val="BodyText"/>
        <w:numPr>
          <w:ilvl w:val="1"/>
          <w:numId w:val="14"/>
        </w:numPr>
        <w:ind w:hanging="360" w:start="1080" w:end="0"/>
        <w:rPr>
          <w:b w:val="false"/>
          <w:bCs w:val="false"/>
          <w:i w:val="false"/>
          <w:i w:val="false"/>
          <w:iCs w:val="false"/>
        </w:rPr>
      </w:pPr>
      <w:r>
        <w:rPr>
          <w:b w:val="false"/>
          <w:bCs w:val="false"/>
          <w:i w:val="false"/>
          <w:iCs w:val="false"/>
        </w:rPr>
        <w:t>By comparison, in California, the retail price caps imposed on distributors do not allow distributors to recover their full wholesale power costs.  As a result, California distributors have been driven to insolvency and the financial position of the State is being adversely affected.</w:t>
      </w:r>
    </w:p>
    <w:p>
      <w:pPr>
        <w:pStyle w:val="BodyText"/>
        <w:ind w:hanging="360" w:start="1080" w:end="0"/>
        <w:rPr>
          <w:b w:val="false"/>
          <w:bCs w:val="false"/>
          <w:i w:val="false"/>
          <w:i w:val="false"/>
          <w:iCs w:val="false"/>
        </w:rPr>
      </w:pPr>
      <w:r>
        <w:rPr>
          <w:b w:val="false"/>
          <w:bCs w:val="false"/>
          <w:i w:val="false"/>
          <w:iCs w:val="false"/>
        </w:rPr>
      </w:r>
    </w:p>
    <w:p>
      <w:pPr>
        <w:pStyle w:val="BodyText"/>
        <w:numPr>
          <w:ilvl w:val="1"/>
          <w:numId w:val="14"/>
        </w:numPr>
        <w:ind w:hanging="360" w:start="1080" w:end="0"/>
        <w:rPr>
          <w:b w:val="false"/>
          <w:bCs w:val="false"/>
          <w:i w:val="false"/>
          <w:i w:val="false"/>
          <w:iCs w:val="false"/>
        </w:rPr>
      </w:pPr>
      <w:r>
        <w:rPr>
          <w:b w:val="false"/>
          <w:bCs w:val="false"/>
          <w:i w:val="false"/>
          <w:iCs w:val="false"/>
        </w:rPr>
        <w:t>There is no prospect of this happening in Ontario.</w:t>
      </w:r>
    </w:p>
    <w:p>
      <w:pPr>
        <w:pStyle w:val="BodyText"/>
        <w:ind w:hanging="360" w:start="720" w:end="0"/>
        <w:rPr>
          <w:b w:val="false"/>
          <w:bCs w:val="false"/>
          <w:i w:val="false"/>
          <w:i w:val="false"/>
          <w:iCs w:val="false"/>
        </w:rPr>
      </w:pPr>
      <w:r>
        <w:rPr>
          <w:b w:val="false"/>
          <w:bCs w:val="false"/>
          <w:i w:val="false"/>
          <w:iCs w:val="false"/>
        </w:rPr>
      </w:r>
    </w:p>
    <w:p>
      <w:pPr>
        <w:pStyle w:val="BodyText"/>
        <w:ind w:hanging="360" w:start="720" w:end="0"/>
        <w:rPr>
          <w:b w:val="false"/>
          <w:bCs w:val="false"/>
          <w:i w:val="false"/>
          <w:i w:val="false"/>
          <w:iCs w:val="false"/>
        </w:rPr>
      </w:pPr>
      <w:r>
        <w:rPr>
          <w:b w:val="false"/>
          <w:bCs w:val="false"/>
          <w:i w:val="false"/>
          <w:iCs w:val="false"/>
        </w:rPr>
      </w:r>
    </w:p>
    <w:p>
      <w:pPr>
        <w:pStyle w:val="BodyText"/>
        <w:ind w:hanging="360" w:start="720" w:end="0"/>
        <w:rPr>
          <w:b w:val="false"/>
          <w:bCs w:val="false"/>
          <w:i w:val="false"/>
          <w:i w:val="false"/>
          <w:iCs w:val="false"/>
        </w:rPr>
      </w:pPr>
      <w:r>
        <w:rPr>
          <w:b w:val="false"/>
          <w:bCs w:val="false"/>
          <w:i w:val="false"/>
          <w:iCs w:val="false"/>
        </w:rPr>
      </w:r>
    </w:p>
    <w:p>
      <w:pPr>
        <w:pStyle w:val="BodyText"/>
        <w:ind w:hanging="720" w:start="720" w:end="0"/>
        <w:rPr>
          <w:b w:val="false"/>
          <w:bCs w:val="false"/>
          <w:i w:val="false"/>
          <w:i w:val="false"/>
          <w:iCs w:val="false"/>
        </w:rPr>
      </w:pPr>
      <w:r>
        <w:rPr>
          <w:i w:val="false"/>
          <w:iCs w:val="false"/>
        </w:rPr>
        <w:t>VII.</w:t>
        <w:tab/>
      </w:r>
      <w:r>
        <w:rPr>
          <w:i w:val="false"/>
          <w:iCs w:val="false"/>
          <w:u w:val="single"/>
        </w:rPr>
        <w:t>The Prospects for New York in the Summer of 2001</w:t>
      </w:r>
    </w:p>
    <w:p>
      <w:pPr>
        <w:pStyle w:val="BodyText"/>
        <w:ind w:hanging="360" w:start="720" w:end="0"/>
        <w:rPr>
          <w:b w:val="false"/>
          <w:bCs w:val="false"/>
          <w:i w:val="false"/>
          <w:i w:val="false"/>
          <w:iCs w:val="false"/>
        </w:rPr>
      </w:pPr>
      <w:r>
        <w:rPr>
          <w:b w:val="false"/>
          <w:bCs w:val="false"/>
          <w:i w:val="false"/>
          <w:iCs w:val="false"/>
        </w:rPr>
      </w:r>
    </w:p>
    <w:p>
      <w:pPr>
        <w:pStyle w:val="BodyText"/>
        <w:numPr>
          <w:ilvl w:val="0"/>
          <w:numId w:val="12"/>
        </w:numPr>
        <w:ind w:hanging="360" w:start="720" w:end="0"/>
        <w:rPr>
          <w:b w:val="false"/>
          <w:bCs w:val="false"/>
          <w:i w:val="false"/>
          <w:i w:val="false"/>
          <w:iCs w:val="false"/>
        </w:rPr>
      </w:pPr>
      <w:r>
        <w:rPr>
          <w:b w:val="false"/>
          <w:bCs w:val="false"/>
          <w:i w:val="false"/>
          <w:iCs w:val="false"/>
        </w:rPr>
        <w:t>The assessment of the New York ISO (as of May 31) is that both New York State and New York City will be able to meet their requirements for Summer 2001 and should be able to avoid black outs during even the hottest months of the summer.</w:t>
      </w:r>
    </w:p>
    <w:p>
      <w:pPr>
        <w:pStyle w:val="BodyText"/>
        <w:ind w:hanging="360" w:start="720" w:end="0"/>
        <w:rPr>
          <w:b w:val="false"/>
          <w:bCs w:val="false"/>
          <w:i w:val="false"/>
          <w:i w:val="false"/>
          <w:iCs w:val="false"/>
        </w:rPr>
      </w:pPr>
      <w:r>
        <w:rPr>
          <w:b w:val="false"/>
          <w:bCs w:val="false"/>
          <w:i w:val="false"/>
          <w:iCs w:val="false"/>
        </w:rPr>
      </w:r>
    </w:p>
    <w:p>
      <w:pPr>
        <w:pStyle w:val="BodyText"/>
        <w:numPr>
          <w:ilvl w:val="1"/>
          <w:numId w:val="12"/>
        </w:numPr>
        <w:ind w:hanging="360" w:start="1080" w:end="0"/>
        <w:rPr>
          <w:b w:val="false"/>
          <w:bCs w:val="false"/>
          <w:i w:val="false"/>
          <w:i w:val="false"/>
          <w:iCs w:val="false"/>
        </w:rPr>
      </w:pPr>
      <w:r>
        <w:rPr>
          <w:b w:val="false"/>
          <w:bCs w:val="false"/>
          <w:i w:val="false"/>
          <w:iCs w:val="false"/>
        </w:rPr>
        <w:t xml:space="preserve">It should be emphasized that the supply problems are in New York City, </w:t>
      </w:r>
      <w:r>
        <w:rPr>
          <w:b w:val="false"/>
          <w:bCs w:val="false"/>
          <w:i w:val="false"/>
          <w:iCs w:val="false"/>
          <w:u w:val="single"/>
        </w:rPr>
        <w:t>not</w:t>
      </w:r>
      <w:r>
        <w:rPr>
          <w:b w:val="false"/>
          <w:bCs w:val="false"/>
          <w:i w:val="false"/>
          <w:iCs w:val="false"/>
        </w:rPr>
        <w:t xml:space="preserve"> in the New York zones to which Ontario is connected.</w:t>
      </w:r>
    </w:p>
    <w:p>
      <w:pPr>
        <w:pStyle w:val="BodyText"/>
        <w:ind w:hanging="360" w:start="720" w:end="0"/>
        <w:rPr>
          <w:b w:val="false"/>
          <w:bCs w:val="false"/>
          <w:i w:val="false"/>
          <w:i w:val="false"/>
          <w:iCs w:val="false"/>
        </w:rPr>
      </w:pPr>
      <w:r>
        <w:rPr>
          <w:b w:val="false"/>
          <w:bCs w:val="false"/>
          <w:i w:val="false"/>
          <w:iCs w:val="false"/>
        </w:rPr>
      </w:r>
    </w:p>
    <w:p>
      <w:pPr>
        <w:pStyle w:val="BodyText"/>
        <w:numPr>
          <w:ilvl w:val="0"/>
          <w:numId w:val="12"/>
        </w:numPr>
        <w:ind w:hanging="360" w:start="720" w:end="0"/>
        <w:rPr>
          <w:b w:val="false"/>
          <w:bCs w:val="false"/>
          <w:i w:val="false"/>
          <w:i w:val="false"/>
          <w:iCs w:val="false"/>
        </w:rPr>
      </w:pPr>
      <w:r>
        <w:rPr>
          <w:b w:val="false"/>
          <w:bCs w:val="false"/>
          <w:i w:val="false"/>
          <w:iCs w:val="false"/>
        </w:rPr>
        <w:t>There are a number of reasons for the improved outlook:</w:t>
      </w:r>
    </w:p>
    <w:p>
      <w:pPr>
        <w:pStyle w:val="BodyText"/>
        <w:ind w:hanging="360" w:start="720" w:end="0"/>
        <w:rPr>
          <w:b w:val="false"/>
          <w:bCs w:val="false"/>
          <w:i w:val="false"/>
          <w:i w:val="false"/>
          <w:iCs w:val="false"/>
        </w:rPr>
      </w:pPr>
      <w:r>
        <w:rPr>
          <w:b w:val="false"/>
          <w:bCs w:val="false"/>
          <w:i w:val="false"/>
          <w:iCs w:val="false"/>
        </w:rPr>
      </w:r>
    </w:p>
    <w:p>
      <w:pPr>
        <w:pStyle w:val="BodyText"/>
        <w:numPr>
          <w:ilvl w:val="1"/>
          <w:numId w:val="12"/>
        </w:numPr>
        <w:ind w:hanging="360" w:start="1080" w:end="0"/>
        <w:rPr>
          <w:b w:val="false"/>
          <w:bCs w:val="false"/>
          <w:i w:val="false"/>
          <w:i w:val="false"/>
          <w:iCs w:val="false"/>
        </w:rPr>
      </w:pPr>
      <w:r>
        <w:rPr>
          <w:b w:val="false"/>
          <w:bCs w:val="false"/>
          <w:i w:val="false"/>
          <w:iCs w:val="false"/>
        </w:rPr>
        <w:t xml:space="preserve">The New York authorities showed great leadership (compared to California) in addressing the situation </w:t>
      </w:r>
      <w:r>
        <w:rPr>
          <w:b w:val="false"/>
          <w:bCs w:val="false"/>
          <w:i w:val="false"/>
          <w:iCs w:val="false"/>
          <w:u w:val="single"/>
        </w:rPr>
        <w:t>before</w:t>
      </w:r>
      <w:r>
        <w:rPr>
          <w:b w:val="false"/>
          <w:bCs w:val="false"/>
          <w:i w:val="false"/>
          <w:iCs w:val="false"/>
        </w:rPr>
        <w:t xml:space="preserve"> supply problems materialized.</w:t>
      </w:r>
    </w:p>
    <w:p>
      <w:pPr>
        <w:pStyle w:val="BodyText"/>
        <w:ind w:hanging="360" w:start="1080" w:end="0"/>
        <w:rPr>
          <w:b w:val="false"/>
          <w:bCs w:val="false"/>
          <w:i w:val="false"/>
          <w:i w:val="false"/>
          <w:iCs w:val="false"/>
        </w:rPr>
      </w:pPr>
      <w:r>
        <w:rPr>
          <w:b w:val="false"/>
          <w:bCs w:val="false"/>
          <w:i w:val="false"/>
          <w:iCs w:val="false"/>
        </w:rPr>
      </w:r>
    </w:p>
    <w:p>
      <w:pPr>
        <w:pStyle w:val="BodyText"/>
        <w:numPr>
          <w:ilvl w:val="1"/>
          <w:numId w:val="12"/>
        </w:numPr>
        <w:ind w:hanging="360" w:start="1080" w:end="0"/>
        <w:rPr>
          <w:b w:val="false"/>
          <w:bCs w:val="false"/>
          <w:i w:val="false"/>
          <w:i w:val="false"/>
          <w:iCs w:val="false"/>
        </w:rPr>
      </w:pPr>
      <w:r>
        <w:rPr>
          <w:b w:val="false"/>
          <w:bCs w:val="false"/>
          <w:i w:val="false"/>
          <w:iCs w:val="false"/>
        </w:rPr>
        <w:t>The New York Power Authority has installed ten 40 MW (total 400MW) of simple-cycle turbines at various locations in New York City.</w:t>
      </w:r>
    </w:p>
    <w:p>
      <w:pPr>
        <w:pStyle w:val="BodyText"/>
        <w:ind w:hanging="360" w:start="1080" w:end="0"/>
        <w:rPr>
          <w:b w:val="false"/>
          <w:bCs w:val="false"/>
          <w:i w:val="false"/>
          <w:i w:val="false"/>
          <w:iCs w:val="false"/>
        </w:rPr>
      </w:pPr>
      <w:r>
        <w:rPr>
          <w:b w:val="false"/>
          <w:bCs w:val="false"/>
          <w:i w:val="false"/>
          <w:iCs w:val="false"/>
        </w:rPr>
      </w:r>
    </w:p>
    <w:p>
      <w:pPr>
        <w:pStyle w:val="BodyText"/>
        <w:numPr>
          <w:ilvl w:val="1"/>
          <w:numId w:val="12"/>
        </w:numPr>
        <w:ind w:hanging="360" w:start="1080" w:end="0"/>
        <w:rPr>
          <w:b w:val="false"/>
          <w:bCs w:val="false"/>
          <w:i w:val="false"/>
          <w:i w:val="false"/>
          <w:iCs w:val="false"/>
        </w:rPr>
      </w:pPr>
      <w:r>
        <w:rPr>
          <w:b w:val="false"/>
          <w:bCs w:val="false"/>
          <w:i w:val="false"/>
          <w:iCs w:val="false"/>
        </w:rPr>
        <w:t>Repairs and improvements have been made to a number of existing units in advance of the summer.</w:t>
      </w:r>
    </w:p>
    <w:p>
      <w:pPr>
        <w:pStyle w:val="BodyText"/>
        <w:ind w:hanging="360" w:start="1080" w:end="0"/>
        <w:rPr>
          <w:b w:val="false"/>
          <w:bCs w:val="false"/>
          <w:i w:val="false"/>
          <w:i w:val="false"/>
          <w:iCs w:val="false"/>
        </w:rPr>
      </w:pPr>
      <w:r>
        <w:rPr>
          <w:b w:val="false"/>
          <w:bCs w:val="false"/>
          <w:i w:val="false"/>
          <w:iCs w:val="false"/>
        </w:rPr>
      </w:r>
    </w:p>
    <w:p>
      <w:pPr>
        <w:pStyle w:val="BodyText"/>
        <w:numPr>
          <w:ilvl w:val="1"/>
          <w:numId w:val="12"/>
        </w:numPr>
        <w:ind w:hanging="360" w:start="1080" w:end="0"/>
        <w:rPr>
          <w:b w:val="false"/>
          <w:bCs w:val="false"/>
          <w:i w:val="false"/>
          <w:i w:val="false"/>
          <w:iCs w:val="false"/>
        </w:rPr>
      </w:pPr>
      <w:r>
        <w:rPr>
          <w:b w:val="false"/>
          <w:bCs w:val="false"/>
          <w:i w:val="false"/>
          <w:iCs w:val="false"/>
        </w:rPr>
        <w:t>New York has implemented a demand-side management programme under which over 200 MW of interceptible load has signed up for the ISO’s Demand Response Program.  These units will be called on to curtail in the event of a supply/reserve shortage.</w:t>
      </w:r>
    </w:p>
    <w:p>
      <w:pPr>
        <w:pStyle w:val="BodyText"/>
        <w:ind w:hanging="360" w:start="1080" w:end="0"/>
        <w:rPr>
          <w:b w:val="false"/>
          <w:bCs w:val="false"/>
          <w:i w:val="false"/>
          <w:i w:val="false"/>
          <w:iCs w:val="false"/>
        </w:rPr>
      </w:pPr>
      <w:r>
        <w:rPr>
          <w:b w:val="false"/>
          <w:bCs w:val="false"/>
          <w:i w:val="false"/>
          <w:iCs w:val="false"/>
        </w:rPr>
      </w:r>
    </w:p>
    <w:p>
      <w:pPr>
        <w:pStyle w:val="BodyText"/>
        <w:numPr>
          <w:ilvl w:val="1"/>
          <w:numId w:val="12"/>
        </w:numPr>
        <w:ind w:hanging="360" w:start="1080" w:end="0"/>
        <w:rPr>
          <w:b w:val="false"/>
          <w:bCs w:val="false"/>
          <w:i w:val="false"/>
          <w:i w:val="false"/>
          <w:iCs w:val="false"/>
        </w:rPr>
      </w:pPr>
      <w:r>
        <w:rPr>
          <w:b w:val="false"/>
          <w:bCs w:val="false"/>
          <w:i w:val="false"/>
          <w:iCs w:val="false"/>
        </w:rPr>
        <w:t>New York City’s supply situation is tight and in no way compares to California.</w:t>
      </w:r>
    </w:p>
    <w:p>
      <w:pPr>
        <w:pStyle w:val="BodyText"/>
        <w:ind w:hanging="360" w:start="1080" w:end="0"/>
        <w:rPr>
          <w:b w:val="false"/>
          <w:bCs w:val="false"/>
          <w:i w:val="false"/>
          <w:i w:val="false"/>
          <w:iCs w:val="false"/>
        </w:rPr>
      </w:pPr>
      <w:r>
        <w:rPr>
          <w:b w:val="false"/>
          <w:bCs w:val="false"/>
          <w:i w:val="false"/>
          <w:iCs w:val="false"/>
        </w:rPr>
      </w:r>
    </w:p>
    <w:p>
      <w:pPr>
        <w:pStyle w:val="BodyText"/>
        <w:numPr>
          <w:ilvl w:val="1"/>
          <w:numId w:val="12"/>
        </w:numPr>
        <w:ind w:hanging="360" w:start="1080" w:end="0"/>
        <w:rPr>
          <w:b w:val="false"/>
          <w:bCs w:val="false"/>
          <w:i w:val="false"/>
          <w:i w:val="false"/>
          <w:iCs w:val="false"/>
        </w:rPr>
      </w:pPr>
      <w:r>
        <w:rPr>
          <w:b w:val="false"/>
          <w:bCs w:val="false"/>
          <w:i w:val="false"/>
          <w:iCs w:val="false"/>
        </w:rPr>
        <w:t>Having said that, more supplies are needed in New York, especially New York City, over the next several years so demand continues to grow:  the market will respond.</w:t>
      </w:r>
    </w:p>
    <w:p>
      <w:pPr>
        <w:pStyle w:val="Heading"/>
        <w:ind w:hanging="360" w:start="1080" w:end="0"/>
        <w:jc w:val="both"/>
        <w:rPr>
          <w:b w:val="false"/>
          <w:bCs/>
          <w:i/>
          <w:i/>
          <w:iCs/>
        </w:rPr>
      </w:pPr>
      <w:r>
        <w:rPr>
          <w:b w:val="false"/>
          <w:bCs/>
          <w:i/>
          <w:iCs/>
        </w:rPr>
      </w:r>
    </w:p>
    <w:sectPr>
      <w:headerReference w:type="default" r:id="rId3"/>
      <w:headerReference w:type="first" r:id="rId4"/>
      <w:footerReference w:type="default" r:id="rId5"/>
      <w:footerReference w:type="first" r:id="rId6"/>
      <w:type w:val="nextPage"/>
      <w:pgSz w:w="12240" w:h="15840"/>
      <w:pgMar w:left="1440" w:right="1440" w:gutter="0" w:header="720" w:top="1152" w:footer="720" w:bottom="1152"/>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Courier New">
    <w:charset w:val="00" w:characterSet="windows-1252"/>
    <w:family w:val="modern"/>
    <w:pitch w:val="default"/>
  </w:font>
  <w:font w:name="Wingdings">
    <w:charset w:val="02"/>
    <w:family w:val="auto"/>
    <w:pitch w:val="variable"/>
  </w:font>
  <w:font w:name="Courier New">
    <w:charset w:val="00" w:characterSet="windows-1252"/>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3780" w:leader="none"/>
        <w:tab w:val="center" w:pos="7560" w:leader="none"/>
        <w:tab w:val="right" w:pos="8640" w:leader="none"/>
      </w:tabs>
      <w:jc w:val="center"/>
      <w:rPr>
        <w:b/>
        <w:sz w:val="16"/>
      </w:rPr>
    </w:pPr>
    <w:r>
      <w:rPr>
        <w:b/>
        <w:sz w:val="16"/>
      </w:rPr>
      <w:t>Your Personal Best Makes Enron Best</w:t>
      <w:tab/>
      <w:t>Communicate- Facts Are Friendly</w:t>
      <w:tab/>
      <w:tab/>
      <w:t>Better, Faster, Simpler</w:t>
    </w:r>
  </w:p>
  <w:p>
    <w:pPr>
      <w:pStyle w:val="Footer"/>
      <w:tabs>
        <w:tab w:val="clear" w:pos="4320"/>
        <w:tab w:val="left" w:pos="3780" w:leader="none"/>
        <w:tab w:val="center" w:pos="7560" w:leader="none"/>
        <w:tab w:val="right" w:pos="8640" w:leader="none"/>
      </w:tabs>
      <w:rPr>
        <w:b/>
        <w:sz w:val="16"/>
      </w:rPr>
    </w:pPr>
    <w:r>
      <w:rPr>
        <w:b/>
        <w:sz w:val="16"/>
      </w:rPr>
    </w:r>
  </w:p>
  <w:p>
    <w:pPr>
      <w:pStyle w:val="Footer"/>
      <w:tabs>
        <w:tab w:val="clear" w:pos="4320"/>
        <w:tab w:val="left" w:pos="3780" w:leader="none"/>
        <w:tab w:val="center" w:pos="7560" w:leader="none"/>
        <w:tab w:val="right" w:pos="8640" w:leader="none"/>
      </w:tabs>
      <w:rPr>
        <w:sz w:val="12"/>
      </w:rPr>
    </w:pPr>
    <w:r>
      <w:rPr>
        <w:sz w:val="12"/>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2430" w:leader="none"/>
        <w:tab w:val="left" w:pos="5310" w:leader="none"/>
        <w:tab w:val="right" w:pos="8640" w:leader="none"/>
        <w:tab w:val="right" w:pos="10800" w:leader="none"/>
      </w:tabs>
      <w:rPr>
        <w:sz w:val="16"/>
      </w:rPr>
    </w:pPr>
    <w:r>
      <w:rPr>
        <w:b/>
        <w:sz w:val="16"/>
      </w:rPr>
      <w:t>Respect</w:t>
      <w:tab/>
      <w:t>Integrity</w:t>
      <w:tab/>
      <w:t>Communication</w:t>
      <w:tab/>
      <w:t>Excellence</w:t>
    </w:r>
  </w:p>
  <w:p>
    <w:pPr>
      <w:pStyle w:val="Footer"/>
      <w:tabs>
        <w:tab w:val="clear" w:pos="4320"/>
        <w:tab w:val="left" w:pos="3780" w:leader="none"/>
        <w:tab w:val="center" w:pos="7560" w:leader="none"/>
        <w:tab w:val="right" w:pos="8640" w:leader="none"/>
        <w:tab w:val="right" w:pos="10800" w:leader="none"/>
      </w:tabs>
      <w:rPr>
        <w:sz w:val="16"/>
      </w:rPr>
    </w:pPr>
    <w:r>
      <w:rPr>
        <w:sz w:val="16"/>
      </w:rPr>
    </w:r>
  </w:p>
  <w:p>
    <w:pPr>
      <w:pStyle w:val="Footer"/>
      <w:tabs>
        <w:tab w:val="clear" w:pos="4320"/>
        <w:tab w:val="left" w:pos="3780" w:leader="none"/>
        <w:tab w:val="center" w:pos="7560" w:leader="none"/>
        <w:tab w:val="right" w:pos="8640" w:leader="none"/>
        <w:tab w:val="right" w:pos="10800" w:leader="none"/>
      </w:tabs>
      <w:rPr>
        <w:sz w:val="16"/>
      </w:rPr>
    </w:pPr>
    <w:r>
      <w:rPr>
        <w:sz w:val="16"/>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8640"/>
        <w:tab w:val="center" w:pos="4320" w:leader="none"/>
        <w:tab w:val="right" w:pos="9360" w:leader="none"/>
      </w:tabs>
      <w:rPr>
        <w:sz w:val="22"/>
      </w:rPr>
    </w:pPr>
    <w:r>
      <w:rPr>
        <w:sz w:val="22"/>
      </w:rPr>
      <w:tab/>
      <w:tab/>
      <w:t xml:space="preserve">Page </w:t>
    </w:r>
    <w:r>
      <w:rPr>
        <w:sz w:val="22"/>
      </w:rPr>
      <w:fldChar w:fldCharType="begin"/>
    </w:r>
    <w:r>
      <w:rPr>
        <w:sz w:val="22"/>
      </w:rPr>
      <w:instrText xml:space="preserve"> PAGE </w:instrText>
    </w:r>
    <w:r>
      <w:rPr>
        <w:sz w:val="22"/>
      </w:rPr>
      <w:fldChar w:fldCharType="separate"/>
    </w:r>
    <w:r>
      <w:rPr>
        <w:sz w:val="22"/>
      </w:rPr>
      <w:t>15</w:t>
    </w:r>
    <w:r>
      <w:rPr>
        <w:sz w:val="22"/>
      </w:rPr>
      <w:fldChar w:fldCharType="end"/>
    </w:r>
  </w:p>
  <w:p>
    <w:pPr>
      <w:pStyle w:val="Header"/>
      <w:tabs>
        <w:tab w:val="clear" w:pos="8640"/>
        <w:tab w:val="center" w:pos="4320" w:leader="none"/>
        <w:tab w:val="right" w:pos="9360" w:leader="none"/>
      </w:tabs>
      <w:rPr>
        <w:sz w:val="22"/>
      </w:rPr>
    </w:pPr>
    <w:r>
      <w:rPr>
        <w:sz w:val="22"/>
      </w:rPr>
    </w:r>
  </w:p>
  <w:p>
    <w:pPr>
      <w:pStyle w:val="Header"/>
      <w:tabs>
        <w:tab w:val="clear" w:pos="8640"/>
        <w:tab w:val="center" w:pos="4320" w:leader="none"/>
        <w:tab w:val="right" w:pos="9360" w:leader="none"/>
      </w:tabs>
      <w:rPr>
        <w:sz w:val="22"/>
      </w:rPr>
    </w:pPr>
    <w:r>
      <w:rPr>
        <w:sz w:val="22"/>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r>
      <mc:AlternateContent>
        <mc:Choice Requires="wps">
          <w:drawing>
            <wp:anchor behindDoc="0" distT="0" distB="0" distL="118745" distR="118745" simplePos="0" locked="0" layoutInCell="0" allowOverlap="1" relativeHeight="3">
              <wp:simplePos x="0" y="0"/>
              <wp:positionH relativeFrom="page">
                <wp:posOffset>2556510</wp:posOffset>
              </wp:positionH>
              <wp:positionV relativeFrom="paragraph">
                <wp:posOffset>-361315</wp:posOffset>
              </wp:positionV>
              <wp:extent cx="3877310" cy="937260"/>
              <wp:effectExtent l="0" t="0" r="0" b="0"/>
              <wp:wrapSquare wrapText="bothSides"/>
              <wp:docPr id="2" name="Frame1"/>
              <a:graphic xmlns:a="http://schemas.openxmlformats.org/drawingml/2006/main">
                <a:graphicData uri="http://schemas.microsoft.com/office/word/2010/wordprocessingShape">
                  <wps:wsp>
                    <wps:cNvSpPr txBox="1"/>
                    <wps:spPr>
                      <a:xfrm>
                        <a:off x="0" y="0"/>
                        <a:ext cx="3877310" cy="937260"/>
                      </a:xfrm>
                      <a:prstGeom prst="rect"/>
                      <a:solidFill>
                        <a:srgbClr val="FFFFFF">
                          <a:alpha val="0"/>
                        </a:srgbClr>
                      </a:solidFill>
                    </wps:spPr>
                    <wps:txbx>
                      <w:txbxContent>
                        <w:p>
                          <w:pPr>
                            <w:pStyle w:val="Normal"/>
                            <w:ind w:start="3600" w:end="0"/>
                            <w:rPr>
                              <w:b/>
                              <w:sz w:val="32"/>
                            </w:rPr>
                          </w:pPr>
                          <w:r>
                            <w:rPr>
                              <w:b/>
                              <w:sz w:val="32"/>
                            </w:rPr>
                          </w:r>
                        </w:p>
                        <w:p>
                          <w:pPr>
                            <w:pStyle w:val="Normal"/>
                            <w:ind w:start="3600" w:end="0"/>
                            <w:rPr>
                              <w:b/>
                              <w:sz w:val="32"/>
                            </w:rPr>
                          </w:pPr>
                          <w:r>
                            <w:rPr>
                              <w:b/>
                              <w:sz w:val="32"/>
                            </w:rPr>
                            <w:t>Confidential</w:t>
                          </w:r>
                        </w:p>
                        <w:p>
                          <w:pPr>
                            <w:pStyle w:val="Normal"/>
                            <w:ind w:start="3600" w:end="0"/>
                            <w:rPr>
                              <w:b/>
                              <w:sz w:val="32"/>
                            </w:rPr>
                          </w:pPr>
                          <w:r>
                            <w:rPr>
                              <w:b/>
                              <w:sz w:val="32"/>
                            </w:rPr>
                            <w:t>InterofficeMemorandum</w:t>
                          </w:r>
                        </w:p>
                      </w:txbxContent>
                    </wps:txbx>
                    <wps:bodyPr anchor="t" lIns="0" tIns="0" rIns="0" bIns="0">
                      <a:noAutofit/>
                    </wps:bodyPr>
                  </wps:wsp>
                </a:graphicData>
              </a:graphic>
            </wp:anchor>
          </w:drawing>
        </mc:Choice>
        <mc:Fallback>
          <w:pict>
            <v:rect fillcolor="#FFFFFF" style="position:absolute;rotation:-0;width:305.3pt;height:73.8pt;mso-wrap-distance-left:9.35pt;mso-wrap-distance-right:9.35pt;mso-wrap-distance-top:0pt;mso-wrap-distance-bottom:0pt;margin-top:-28.45pt;mso-position-vertical-relative:text;margin-left:201.3pt;mso-position-horizontal-relative:page">
              <v:fill opacity="0f"/>
              <v:textbox inset="0in,0in,0in,0in">
                <w:txbxContent>
                  <w:p>
                    <w:pPr>
                      <w:pStyle w:val="Normal"/>
                      <w:ind w:start="3600" w:end="0"/>
                      <w:rPr>
                        <w:b/>
                        <w:sz w:val="32"/>
                      </w:rPr>
                    </w:pPr>
                    <w:r>
                      <w:rPr>
                        <w:b/>
                        <w:sz w:val="32"/>
                      </w:rPr>
                    </w:r>
                  </w:p>
                  <w:p>
                    <w:pPr>
                      <w:pStyle w:val="Normal"/>
                      <w:ind w:start="3600" w:end="0"/>
                      <w:rPr>
                        <w:b/>
                        <w:sz w:val="32"/>
                      </w:rPr>
                    </w:pPr>
                    <w:r>
                      <w:rPr>
                        <w:b/>
                        <w:sz w:val="32"/>
                      </w:rPr>
                      <w:t>Confidential</w:t>
                    </w:r>
                  </w:p>
                  <w:p>
                    <w:pPr>
                      <w:pStyle w:val="Normal"/>
                      <w:ind w:start="3600" w:end="0"/>
                      <w:rPr>
                        <w:b/>
                        <w:sz w:val="32"/>
                      </w:rPr>
                    </w:pPr>
                    <w:r>
                      <w:rPr>
                        <w:b/>
                        <w:sz w:val="32"/>
                      </w:rPr>
                      <w:t>InterofficeMemorandum</w:t>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2160"/>
        </w:tabs>
        <w:ind w:start="2160" w:hanging="360"/>
      </w:pPr>
      <w:rPr>
        <w:rFonts w:ascii="Symbol" w:hAnsi="Symbol" w:cs="Symbol" w:hint="default"/>
        <w:color w:val="000000"/>
      </w:rPr>
    </w:lvl>
  </w:abstractNum>
  <w:abstractNum w:abstractNumId="3">
    <w:lvl w:ilvl="0">
      <w:start w:val="1"/>
      <w:numFmt w:val="decimal"/>
      <w:lvlText w:val="%1."/>
      <w:lvlJc w:val="start"/>
      <w:pPr>
        <w:tabs>
          <w:tab w:val="num" w:pos="1080"/>
        </w:tabs>
        <w:ind w:start="1080" w:hanging="360"/>
      </w:pPr>
      <w:rPr/>
    </w:lvl>
    <w:lvl w:ilvl="1">
      <w:start w:val="1"/>
      <w:numFmt w:val="bullet"/>
      <w:lvlText w:val=""/>
      <w:lvlJc w:val="start"/>
      <w:pPr>
        <w:tabs>
          <w:tab w:val="num" w:pos="1800"/>
        </w:tabs>
        <w:ind w:start="1800" w:hanging="360"/>
      </w:pPr>
      <w:rPr>
        <w:rFonts w:ascii="Symbol" w:hAnsi="Symbol" w:cs="Symbol" w:hint="default"/>
        <w:color w:val="000000"/>
      </w:rPr>
    </w:lvl>
    <w:lvl w:ilvl="2">
      <w:start w:val="1"/>
      <w:numFmt w:val="bullet"/>
      <w:lvlText w:val=""/>
      <w:lvlJc w:val="start"/>
      <w:pPr>
        <w:tabs>
          <w:tab w:val="num" w:pos="1800"/>
        </w:tabs>
        <w:ind w:start="1800" w:hanging="360"/>
      </w:pPr>
      <w:rPr>
        <w:rFonts w:ascii="Symbol" w:hAnsi="Symbol" w:cs="Symbol" w:hint="default"/>
        <w:color w:val="000000"/>
      </w:rPr>
    </w:lvl>
    <w:lvl w:ilvl="3">
      <w:start w:val="1"/>
      <w:numFmt w:val="bullet"/>
      <w:lvlText w:val=""/>
      <w:lvlJc w:val="start"/>
      <w:pPr>
        <w:tabs>
          <w:tab w:val="num" w:pos="1800"/>
        </w:tabs>
        <w:ind w:start="1800" w:hanging="360"/>
      </w:pPr>
      <w:rPr>
        <w:rFonts w:ascii="Symbol" w:hAnsi="Symbol" w:cs="Symbol" w:hint="default"/>
        <w:color w:val="000000"/>
      </w:rPr>
    </w:lvl>
    <w:lvl w:ilvl="4">
      <w:start w:val="1"/>
      <w:numFmt w:val="lowerLetter"/>
      <w:lvlText w:val="%5."/>
      <w:lvlJc w:val="start"/>
      <w:pPr>
        <w:tabs>
          <w:tab w:val="num" w:pos="3960"/>
        </w:tabs>
        <w:ind w:start="3960" w:hanging="360"/>
      </w:pPr>
    </w:lvl>
    <w:lvl w:ilvl="5">
      <w:start w:val="1"/>
      <w:numFmt w:val="lowerRoman"/>
      <w:lvlText w:val="%6."/>
      <w:lvlJc w:val="end"/>
      <w:pPr>
        <w:tabs>
          <w:tab w:val="num" w:pos="4680"/>
        </w:tabs>
        <w:ind w:start="4680" w:hanging="180"/>
      </w:pPr>
    </w:lvl>
    <w:lvl w:ilvl="6">
      <w:start w:val="1"/>
      <w:numFmt w:val="decimal"/>
      <w:lvlText w:val="%7."/>
      <w:lvlJc w:val="start"/>
      <w:pPr>
        <w:tabs>
          <w:tab w:val="num" w:pos="5400"/>
        </w:tabs>
        <w:ind w:start="5400" w:hanging="360"/>
      </w:pPr>
    </w:lvl>
    <w:lvl w:ilvl="7">
      <w:start w:val="1"/>
      <w:numFmt w:val="lowerLetter"/>
      <w:lvlText w:val="%8."/>
      <w:lvlJc w:val="start"/>
      <w:pPr>
        <w:tabs>
          <w:tab w:val="num" w:pos="6120"/>
        </w:tabs>
        <w:ind w:start="6120" w:hanging="360"/>
      </w:pPr>
    </w:lvl>
    <w:lvl w:ilvl="8">
      <w:start w:val="1"/>
      <w:numFmt w:val="lowerRoman"/>
      <w:lvlText w:val="%9."/>
      <w:lvlJc w:val="end"/>
      <w:pPr>
        <w:tabs>
          <w:tab w:val="num" w:pos="6840"/>
        </w:tabs>
        <w:ind w:start="6840" w:hanging="180"/>
      </w:pPr>
    </w:lvl>
  </w:abstractNum>
  <w:abstractNum w:abstractNumId="4">
    <w:lvl w:ilvl="0">
      <w:start w:val="1"/>
      <w:numFmt w:val="bullet"/>
      <w:lvlText w:val=""/>
      <w:lvlJc w:val="start"/>
      <w:pPr>
        <w:tabs>
          <w:tab w:val="num" w:pos="720"/>
        </w:tabs>
        <w:ind w:start="720" w:hanging="360"/>
      </w:pPr>
      <w:rPr>
        <w:rFonts w:ascii="Symbol" w:hAnsi="Symbol" w:cs="Symbol" w:hint="default"/>
        <w:color w:val="000000"/>
      </w:rPr>
    </w:lvl>
    <w:lvl w:ilvl="1">
      <w:start w:val="1"/>
      <w:numFmt w:val="bullet"/>
      <w:lvlText w:val="o"/>
      <w:lvlJc w:val="start"/>
      <w:pPr>
        <w:tabs>
          <w:tab w:val="num" w:pos="720"/>
        </w:tabs>
        <w:ind w:start="1440" w:hanging="360"/>
      </w:pPr>
      <w:rPr>
        <w:rFonts w:ascii="Courier New" w:hAnsi="Courier New" w:cs="Courier New" w:hint="default"/>
      </w:rPr>
    </w:lvl>
    <w:lvl w:ilvl="2">
      <w:start w:val="1"/>
      <w:numFmt w:val="bullet"/>
      <w:lvlText w:val=""/>
      <w:lvlJc w:val="start"/>
      <w:pPr>
        <w:tabs>
          <w:tab w:val="num" w:pos="720"/>
        </w:tabs>
        <w:ind w:start="2160" w:hanging="360"/>
      </w:pPr>
      <w:rPr>
        <w:rFonts w:ascii="Wingdings" w:hAnsi="Wingdings" w:cs="Wingdings"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abstractNum w:abstractNumId="5">
    <w:lvl w:ilvl="0">
      <w:start w:val="1"/>
      <w:numFmt w:val="bullet"/>
      <w:lvlText w:val=""/>
      <w:lvlJc w:val="start"/>
      <w:pPr>
        <w:tabs>
          <w:tab w:val="num" w:pos="1080"/>
        </w:tabs>
        <w:ind w:start="1080" w:hanging="360"/>
      </w:pPr>
      <w:rPr>
        <w:rFonts w:ascii="Symbol" w:hAnsi="Symbol" w:cs="Symbol" w:hint="default"/>
        <w:color w:val="000000"/>
      </w:rPr>
    </w:lvl>
    <w:lvl w:ilvl="1">
      <w:start w:val="1"/>
      <w:numFmt w:val="bullet"/>
      <w:lvlText w:val="o"/>
      <w:lvlJc w:val="start"/>
      <w:pPr>
        <w:tabs>
          <w:tab w:val="num" w:pos="1800"/>
        </w:tabs>
        <w:ind w:start="1800" w:hanging="360"/>
      </w:pPr>
      <w:rPr>
        <w:rFonts w:ascii="Courier New" w:hAnsi="Courier New" w:cs="Courier New" w:hint="default"/>
      </w:rPr>
    </w:lvl>
    <w:lvl w:ilvl="2">
      <w:start w:val="1"/>
      <w:numFmt w:val="bullet"/>
      <w:lvlText w:val=""/>
      <w:lvlJc w:val="start"/>
      <w:pPr>
        <w:tabs>
          <w:tab w:val="num" w:pos="2520"/>
        </w:tabs>
        <w:ind w:start="2520" w:hanging="360"/>
      </w:pPr>
      <w:rPr>
        <w:rFonts w:ascii="Wingdings" w:hAnsi="Wingdings" w:cs="Wingdings" w:hint="default"/>
      </w:rPr>
    </w:lvl>
    <w:lvl w:ilvl="3">
      <w:start w:val="1"/>
      <w:numFmt w:val="bullet"/>
      <w:lvlText w:val=""/>
      <w:lvlJc w:val="start"/>
      <w:pPr>
        <w:tabs>
          <w:tab w:val="num" w:pos="3240"/>
        </w:tabs>
        <w:ind w:start="3240" w:hanging="360"/>
      </w:pPr>
      <w:rPr>
        <w:rFonts w:ascii="Symbol" w:hAnsi="Symbol" w:cs="Symbol" w:hint="default"/>
      </w:rPr>
    </w:lvl>
    <w:lvl w:ilvl="4">
      <w:start w:val="1"/>
      <w:numFmt w:val="bullet"/>
      <w:lvlText w:val="o"/>
      <w:lvlJc w:val="start"/>
      <w:pPr>
        <w:tabs>
          <w:tab w:val="num" w:pos="3960"/>
        </w:tabs>
        <w:ind w:start="3960" w:hanging="360"/>
      </w:pPr>
      <w:rPr>
        <w:rFonts w:ascii="Courier New" w:hAnsi="Courier New" w:cs="Courier New" w:hint="default"/>
      </w:rPr>
    </w:lvl>
    <w:lvl w:ilvl="5">
      <w:start w:val="1"/>
      <w:numFmt w:val="bullet"/>
      <w:lvlText w:val=""/>
      <w:lvlJc w:val="start"/>
      <w:pPr>
        <w:tabs>
          <w:tab w:val="num" w:pos="4680"/>
        </w:tabs>
        <w:ind w:start="4680" w:hanging="360"/>
      </w:pPr>
      <w:rPr>
        <w:rFonts w:ascii="Wingdings" w:hAnsi="Wingdings" w:cs="Wingdings" w:hint="default"/>
      </w:rPr>
    </w:lvl>
    <w:lvl w:ilvl="6">
      <w:start w:val="1"/>
      <w:numFmt w:val="bullet"/>
      <w:lvlText w:val=""/>
      <w:lvlJc w:val="start"/>
      <w:pPr>
        <w:tabs>
          <w:tab w:val="num" w:pos="5400"/>
        </w:tabs>
        <w:ind w:start="5400" w:hanging="360"/>
      </w:pPr>
      <w:rPr>
        <w:rFonts w:ascii="Symbol" w:hAnsi="Symbol" w:cs="Symbol" w:hint="default"/>
      </w:rPr>
    </w:lvl>
    <w:lvl w:ilvl="7">
      <w:start w:val="1"/>
      <w:numFmt w:val="bullet"/>
      <w:lvlText w:val="o"/>
      <w:lvlJc w:val="start"/>
      <w:pPr>
        <w:tabs>
          <w:tab w:val="num" w:pos="6120"/>
        </w:tabs>
        <w:ind w:start="6120" w:hanging="360"/>
      </w:pPr>
      <w:rPr>
        <w:rFonts w:ascii="Courier New" w:hAnsi="Courier New" w:cs="Courier New" w:hint="default"/>
      </w:rPr>
    </w:lvl>
    <w:lvl w:ilvl="8">
      <w:start w:val="1"/>
      <w:numFmt w:val="bullet"/>
      <w:lvlText w:val=""/>
      <w:lvlJc w:val="start"/>
      <w:pPr>
        <w:tabs>
          <w:tab w:val="num" w:pos="6840"/>
        </w:tabs>
        <w:ind w:start="6840" w:hanging="360"/>
      </w:pPr>
      <w:rPr>
        <w:rFonts w:ascii="Wingdings" w:hAnsi="Wingdings" w:cs="Wingdings" w:hint="default"/>
      </w:rPr>
    </w:lvl>
  </w:abstractNum>
  <w:abstractNum w:abstractNumId="6">
    <w:lvl w:ilvl="0">
      <w:start w:val="1"/>
      <w:numFmt w:val="bullet"/>
      <w:lvlText w:val=""/>
      <w:lvlJc w:val="start"/>
      <w:pPr>
        <w:tabs>
          <w:tab w:val="num" w:pos="720"/>
        </w:tabs>
        <w:ind w:start="720" w:hanging="360"/>
      </w:pPr>
      <w:rPr>
        <w:rFonts w:ascii="Symbol" w:hAnsi="Symbol" w:cs="Symbol" w:hint="default"/>
        <w:color w:val="000000"/>
      </w:rPr>
    </w:lvl>
    <w:lvl w:ilvl="1">
      <w:start w:val="1"/>
      <w:numFmt w:val="decimal"/>
      <w:lvlText w:val="%2."/>
      <w:lvlJc w:val="start"/>
      <w:pPr>
        <w:tabs>
          <w:tab w:val="num" w:pos="1440"/>
        </w:tabs>
        <w:ind w:start="1440" w:hanging="360"/>
      </w:pPr>
    </w:lvl>
    <w:lvl w:ilvl="2">
      <w:start w:val="1"/>
      <w:numFmt w:val="bullet"/>
      <w:lvlText w:val=""/>
      <w:lvlJc w:val="start"/>
      <w:pPr>
        <w:tabs>
          <w:tab w:val="num" w:pos="720"/>
        </w:tabs>
        <w:ind w:start="2160" w:hanging="360"/>
      </w:pPr>
      <w:rPr>
        <w:rFonts w:ascii="Symbol" w:hAnsi="Symbol" w:cs="Symbol" w:hint="default"/>
        <w:color w:val="000000"/>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abstractNum w:abstractNumId="7">
    <w:lvl w:ilvl="0">
      <w:start w:val="1"/>
      <w:numFmt w:val="bullet"/>
      <w:lvlText w:val=""/>
      <w:lvlJc w:val="start"/>
      <w:pPr>
        <w:tabs>
          <w:tab w:val="num" w:pos="720"/>
        </w:tabs>
        <w:ind w:start="720" w:hanging="360"/>
      </w:pPr>
      <w:rPr>
        <w:rFonts w:ascii="Symbol" w:hAnsi="Symbol" w:cs="Symbol" w:hint="default"/>
        <w:color w:val="000000"/>
      </w:rPr>
    </w:lvl>
  </w:abstractNum>
  <w:abstractNum w:abstractNumId="8">
    <w:lvl w:ilvl="0">
      <w:start w:val="1"/>
      <w:numFmt w:val="bullet"/>
      <w:lvlText w:val=""/>
      <w:lvlJc w:val="start"/>
      <w:pPr>
        <w:tabs>
          <w:tab w:val="num" w:pos="2160"/>
        </w:tabs>
        <w:ind w:start="2160" w:hanging="360"/>
      </w:pPr>
      <w:rPr>
        <w:rFonts w:ascii="Symbol" w:hAnsi="Symbol" w:cs="Symbol" w:hint="default"/>
        <w:color w:val="000000"/>
      </w:rPr>
    </w:lvl>
  </w:abstractNum>
  <w:abstractNum w:abstractNumId="9">
    <w:lvl w:ilvl="0">
      <w:start w:val="1"/>
      <w:numFmt w:val="bullet"/>
      <w:lvlText w:val=""/>
      <w:lvlJc w:val="start"/>
      <w:pPr>
        <w:tabs>
          <w:tab w:val="num" w:pos="1080"/>
        </w:tabs>
        <w:ind w:start="1080" w:hanging="360"/>
      </w:pPr>
      <w:rPr>
        <w:rFonts w:ascii="Symbol" w:hAnsi="Symbol" w:cs="Symbol" w:hint="default"/>
        <w:color w:val="000000"/>
      </w:rPr>
    </w:lvl>
  </w:abstractNum>
  <w:abstractNum w:abstractNumId="10">
    <w:lvl w:ilvl="0">
      <w:start w:val="1"/>
      <w:numFmt w:val="bullet"/>
      <w:lvlText w:val="◦"/>
      <w:lvlJc w:val="start"/>
      <w:pPr>
        <w:tabs>
          <w:tab w:val="num" w:pos="1080"/>
        </w:tabs>
        <w:ind w:start="1080" w:hanging="360"/>
      </w:pPr>
      <w:rPr>
        <w:rFonts w:ascii="Liberation Serif" w:hAnsi="Liberation Serif" w:cs="Liberation Serif" w:hint="default"/>
      </w:rPr>
    </w:lvl>
    <w:lvl w:ilvl="1">
      <w:start w:val="1"/>
      <w:numFmt w:val="bullet"/>
      <w:lvlText w:val="o"/>
      <w:lvlJc w:val="start"/>
      <w:pPr>
        <w:tabs>
          <w:tab w:val="num" w:pos="1440"/>
        </w:tabs>
        <w:ind w:start="1440" w:hanging="360"/>
      </w:pPr>
      <w:rPr>
        <w:rFonts w:ascii="Courier New" w:hAnsi="Courier New" w:cs="Courier New" w:hint="default"/>
      </w:rPr>
    </w:lvl>
    <w:lvl w:ilvl="2">
      <w:start w:val="1"/>
      <w:numFmt w:val="bullet"/>
      <w:lvlText w:val=""/>
      <w:lvlJc w:val="start"/>
      <w:pPr>
        <w:tabs>
          <w:tab w:val="num" w:pos="2160"/>
        </w:tabs>
        <w:ind w:start="2160" w:hanging="360"/>
      </w:pPr>
      <w:rPr>
        <w:rFonts w:ascii="Wingdings" w:hAnsi="Wingdings" w:cs="Wingdings"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abstractNum w:abstractNumId="11">
    <w:lvl w:ilvl="0">
      <w:start w:val="1"/>
      <w:numFmt w:val="bullet"/>
      <w:lvlText w:val=""/>
      <w:lvlJc w:val="start"/>
      <w:pPr>
        <w:tabs>
          <w:tab w:val="num" w:pos="720"/>
        </w:tabs>
        <w:ind w:start="720" w:hanging="360"/>
      </w:pPr>
      <w:rPr>
        <w:rFonts w:ascii="Symbol" w:hAnsi="Symbol" w:cs="Symbol" w:hint="default"/>
        <w:color w:val="000000"/>
      </w:rPr>
    </w:lvl>
    <w:lvl w:ilvl="1">
      <w:start w:val="1"/>
      <w:numFmt w:val="bullet"/>
      <w:lvlText w:val="o"/>
      <w:lvlJc w:val="start"/>
      <w:pPr>
        <w:tabs>
          <w:tab w:val="num" w:pos="1440"/>
        </w:tabs>
        <w:ind w:start="1440" w:hanging="360"/>
      </w:pPr>
      <w:rPr>
        <w:rFonts w:ascii="Courier New" w:hAnsi="Courier New" w:cs="Courier New" w:hint="default"/>
      </w:rPr>
    </w:lvl>
    <w:lvl w:ilvl="2">
      <w:start w:val="1"/>
      <w:numFmt w:val="bullet"/>
      <w:lvlText w:val=""/>
      <w:lvlJc w:val="start"/>
      <w:pPr>
        <w:tabs>
          <w:tab w:val="num" w:pos="2160"/>
        </w:tabs>
        <w:ind w:start="2160" w:hanging="360"/>
      </w:pPr>
      <w:rPr>
        <w:rFonts w:ascii="Wingdings" w:hAnsi="Wingdings" w:cs="Wingdings"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abstractNum w:abstractNumId="12">
    <w:lvl w:ilvl="0">
      <w:start w:val="1"/>
      <w:numFmt w:val="bullet"/>
      <w:lvlText w:val=""/>
      <w:lvlJc w:val="start"/>
      <w:pPr>
        <w:tabs>
          <w:tab w:val="num" w:pos="2160"/>
        </w:tabs>
        <w:ind w:start="2160" w:hanging="360"/>
      </w:pPr>
      <w:rPr>
        <w:rFonts w:ascii="Symbol" w:hAnsi="Symbol" w:cs="Symbol" w:hint="default"/>
        <w:color w:val="000000"/>
      </w:rPr>
    </w:lvl>
    <w:lvl w:ilvl="1">
      <w:start w:val="1"/>
      <w:numFmt w:val="bullet"/>
      <w:lvlText w:val="o"/>
      <w:lvlJc w:val="start"/>
      <w:pPr>
        <w:tabs>
          <w:tab w:val="num" w:pos="1440"/>
        </w:tabs>
        <w:ind w:start="1440" w:hanging="360"/>
      </w:pPr>
      <w:rPr>
        <w:rFonts w:ascii="Courier New" w:hAnsi="Courier New" w:cs="Courier New" w:hint="default"/>
      </w:rPr>
    </w:lvl>
    <w:lvl w:ilvl="2">
      <w:start w:val="1"/>
      <w:numFmt w:val="bullet"/>
      <w:lvlText w:val=""/>
      <w:lvlJc w:val="start"/>
      <w:pPr>
        <w:tabs>
          <w:tab w:val="num" w:pos="2160"/>
        </w:tabs>
        <w:ind w:start="2160" w:hanging="360"/>
      </w:pPr>
      <w:rPr>
        <w:rFonts w:ascii="Wingdings" w:hAnsi="Wingdings" w:cs="Wingdings"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abstractNum w:abstractNumId="13">
    <w:lvl w:ilvl="0">
      <w:start w:val="1"/>
      <w:numFmt w:val="bullet"/>
      <w:lvlText w:val=""/>
      <w:lvlJc w:val="start"/>
      <w:pPr>
        <w:tabs>
          <w:tab w:val="num" w:pos="1080"/>
        </w:tabs>
        <w:ind w:start="1080" w:hanging="360"/>
      </w:pPr>
      <w:rPr>
        <w:rFonts w:ascii="Symbol" w:hAnsi="Symbol" w:cs="Symbol" w:hint="default"/>
        <w:color w:val="000000"/>
      </w:rPr>
    </w:lvl>
  </w:abstractNum>
  <w:abstractNum w:abstractNumId="14">
    <w:lvl w:ilvl="0">
      <w:start w:val="1"/>
      <w:numFmt w:val="bullet"/>
      <w:lvlText w:val=""/>
      <w:lvlJc w:val="start"/>
      <w:pPr>
        <w:tabs>
          <w:tab w:val="num" w:pos="2160"/>
        </w:tabs>
        <w:ind w:start="2160" w:hanging="360"/>
      </w:pPr>
      <w:rPr>
        <w:rFonts w:ascii="Symbol" w:hAnsi="Symbol" w:cs="Symbol" w:hint="default"/>
        <w:color w:val="000000"/>
      </w:rPr>
    </w:lvl>
    <w:lvl w:ilvl="1">
      <w:start w:val="1"/>
      <w:numFmt w:val="bullet"/>
      <w:lvlText w:val="o"/>
      <w:lvlJc w:val="start"/>
      <w:pPr>
        <w:tabs>
          <w:tab w:val="num" w:pos="1440"/>
        </w:tabs>
        <w:ind w:start="1440" w:hanging="360"/>
      </w:pPr>
      <w:rPr>
        <w:rFonts w:ascii="Courier New" w:hAnsi="Courier New" w:cs="Courier New" w:hint="default"/>
      </w:rPr>
    </w:lvl>
    <w:lvl w:ilvl="2">
      <w:start w:val="1"/>
      <w:numFmt w:val="bullet"/>
      <w:lvlText w:val=""/>
      <w:lvlJc w:val="start"/>
      <w:pPr>
        <w:tabs>
          <w:tab w:val="num" w:pos="2160"/>
        </w:tabs>
        <w:ind w:start="2160" w:hanging="360"/>
      </w:pPr>
      <w:rPr>
        <w:rFonts w:ascii="Symbol" w:hAnsi="Symbol" w:cs="Symbol" w:hint="default"/>
        <w:color w:val="000000"/>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abstractNum w:abstractNumId="15">
    <w:lvl w:ilvl="0">
      <w:start w:val="1"/>
      <w:numFmt w:val="bullet"/>
      <w:lvlText w:val=""/>
      <w:lvlJc w:val="start"/>
      <w:pPr>
        <w:tabs>
          <w:tab w:val="num" w:pos="720"/>
        </w:tabs>
        <w:ind w:start="720" w:hanging="360"/>
      </w:pPr>
      <w:rPr>
        <w:rFonts w:ascii="Symbol" w:hAnsi="Symbol" w:cs="Symbol" w:hint="default"/>
        <w:color w:val="000000"/>
      </w:rPr>
    </w:lvl>
    <w:lvl w:ilvl="1">
      <w:start w:val="1"/>
      <w:numFmt w:val="bullet"/>
      <w:lvlText w:val="o"/>
      <w:lvlJc w:val="start"/>
      <w:pPr>
        <w:tabs>
          <w:tab w:val="num" w:pos="1440"/>
        </w:tabs>
        <w:ind w:start="1440" w:hanging="360"/>
      </w:pPr>
      <w:rPr>
        <w:rFonts w:ascii="Courier New" w:hAnsi="Courier New" w:cs="Courier New" w:hint="default"/>
      </w:rPr>
    </w:lvl>
    <w:lvl w:ilvl="2">
      <w:start w:val="1"/>
      <w:numFmt w:val="bullet"/>
      <w:lvlText w:val=""/>
      <w:lvlJc w:val="start"/>
      <w:pPr>
        <w:tabs>
          <w:tab w:val="num" w:pos="2160"/>
        </w:tabs>
        <w:ind w:start="2160" w:hanging="360"/>
      </w:pPr>
      <w:rPr>
        <w:rFonts w:ascii="Wingdings" w:hAnsi="Wingdings" w:cs="Wingdings"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abstractNum w:abstractNumId="16">
    <w:lvl w:ilvl="0">
      <w:start w:val="1"/>
      <w:numFmt w:val="bullet"/>
      <w:lvlText w:val=""/>
      <w:lvlJc w:val="start"/>
      <w:pPr>
        <w:tabs>
          <w:tab w:val="num" w:pos="720"/>
        </w:tabs>
        <w:ind w:start="720" w:hanging="360"/>
      </w:pPr>
      <w:rPr>
        <w:rFonts w:ascii="Symbol" w:hAnsi="Symbol" w:cs="Symbol" w:hint="default"/>
        <w:color w:val="000000"/>
      </w:rPr>
    </w:lvl>
    <w:lvl w:ilvl="1">
      <w:start w:val="1"/>
      <w:numFmt w:val="bullet"/>
      <w:lvlText w:val="o"/>
      <w:lvlJc w:val="start"/>
      <w:pPr>
        <w:tabs>
          <w:tab w:val="num" w:pos="1440"/>
        </w:tabs>
        <w:ind w:start="1440" w:hanging="360"/>
      </w:pPr>
      <w:rPr>
        <w:rFonts w:ascii="Courier New" w:hAnsi="Courier New" w:cs="Courier New" w:hint="default"/>
      </w:rPr>
    </w:lvl>
    <w:lvl w:ilvl="2">
      <w:start w:val="1"/>
      <w:numFmt w:val="bullet"/>
      <w:lvlText w:val=""/>
      <w:lvlJc w:val="start"/>
      <w:pPr>
        <w:tabs>
          <w:tab w:val="num" w:pos="2160"/>
        </w:tabs>
        <w:ind w:start="2160" w:hanging="360"/>
      </w:pPr>
      <w:rPr>
        <w:rFonts w:ascii="Wingdings" w:hAnsi="Wingdings" w:cs="Wingdings"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abstractNum w:abstractNumId="17">
    <w:lvl w:ilvl="0">
      <w:start w:val="1"/>
      <w:numFmt w:val="bullet"/>
      <w:lvlText w:val=""/>
      <w:lvlJc w:val="start"/>
      <w:pPr>
        <w:tabs>
          <w:tab w:val="num" w:pos="720"/>
        </w:tabs>
        <w:ind w:start="720" w:hanging="360"/>
      </w:pPr>
      <w:rPr>
        <w:rFonts w:ascii="Symbol" w:hAnsi="Symbol" w:cs="Symbol" w:hint="default"/>
        <w:color w:val="000000"/>
      </w:rPr>
    </w:lvl>
    <w:lvl w:ilvl="1">
      <w:start w:val="1"/>
      <w:numFmt w:val="bullet"/>
      <w:lvlText w:val="o"/>
      <w:lvlJc w:val="start"/>
      <w:pPr>
        <w:tabs>
          <w:tab w:val="num" w:pos="1440"/>
        </w:tabs>
        <w:ind w:start="1440" w:hanging="360"/>
      </w:pPr>
      <w:rPr>
        <w:rFonts w:ascii="Courier New" w:hAnsi="Courier New" w:cs="Courier New" w:hint="default"/>
      </w:rPr>
    </w:lvl>
    <w:lvl w:ilvl="2">
      <w:start w:val="1"/>
      <w:numFmt w:val="bullet"/>
      <w:lvlText w:val=""/>
      <w:lvlJc w:val="start"/>
      <w:pPr>
        <w:tabs>
          <w:tab w:val="num" w:pos="2160"/>
        </w:tabs>
        <w:ind w:start="2160" w:hanging="360"/>
      </w:pPr>
      <w:rPr>
        <w:rFonts w:ascii="Wingdings" w:hAnsi="Wingdings" w:cs="Wingdings"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abstractNum w:abstractNumId="18">
    <w:lvl w:ilvl="0">
      <w:start w:val="1"/>
      <w:numFmt w:val="bullet"/>
      <w:lvlText w:val=""/>
      <w:lvlJc w:val="start"/>
      <w:pPr>
        <w:tabs>
          <w:tab w:val="num" w:pos="720"/>
        </w:tabs>
        <w:ind w:start="720" w:hanging="360"/>
      </w:pPr>
      <w:rPr>
        <w:rFonts w:ascii="Symbol" w:hAnsi="Symbol" w:cs="Symbol" w:hint="default"/>
        <w:color w:val="000000"/>
      </w:rPr>
    </w:lvl>
  </w:abstractNum>
  <w:abstractNum w:abstractNumId="19">
    <w:lvl w:ilvl="0">
      <w:start w:val="1"/>
      <w:numFmt w:val="decimal"/>
      <w:lvlText w:val="%1."/>
      <w:lvlJc w:val="start"/>
      <w:pPr>
        <w:tabs>
          <w:tab w:val="num" w:pos="1080"/>
        </w:tabs>
        <w:ind w:start="1080" w:hanging="360"/>
      </w:pPr>
      <w:rPr/>
    </w:lvl>
    <w:lvl w:ilvl="1">
      <w:start w:val="1"/>
      <w:numFmt w:val="bullet"/>
      <w:lvlText w:val=""/>
      <w:lvlJc w:val="start"/>
      <w:pPr>
        <w:tabs>
          <w:tab w:val="num" w:pos="1800"/>
        </w:tabs>
        <w:ind w:start="1800" w:hanging="360"/>
      </w:pPr>
      <w:rPr>
        <w:rFonts w:ascii="Symbol" w:hAnsi="Symbol" w:cs="Symbol" w:hint="default"/>
        <w:color w:val="000000"/>
      </w:rPr>
    </w:lvl>
    <w:lvl w:ilvl="2">
      <w:start w:val="1"/>
      <w:numFmt w:val="lowerRoman"/>
      <w:lvlText w:val="%3."/>
      <w:lvlJc w:val="end"/>
      <w:pPr>
        <w:tabs>
          <w:tab w:val="num" w:pos="2520"/>
        </w:tabs>
        <w:ind w:start="2520" w:hanging="180"/>
      </w:pPr>
    </w:lvl>
    <w:lvl w:ilvl="3">
      <w:start w:val="1"/>
      <w:numFmt w:val="decimal"/>
      <w:lvlText w:val="%4."/>
      <w:lvlJc w:val="start"/>
      <w:pPr>
        <w:tabs>
          <w:tab w:val="num" w:pos="3240"/>
        </w:tabs>
        <w:ind w:start="3240" w:hanging="360"/>
      </w:pPr>
    </w:lvl>
    <w:lvl w:ilvl="4">
      <w:start w:val="1"/>
      <w:numFmt w:val="lowerLetter"/>
      <w:lvlText w:val="%5."/>
      <w:lvlJc w:val="start"/>
      <w:pPr>
        <w:tabs>
          <w:tab w:val="num" w:pos="3960"/>
        </w:tabs>
        <w:ind w:start="3960" w:hanging="360"/>
      </w:pPr>
    </w:lvl>
    <w:lvl w:ilvl="5">
      <w:start w:val="1"/>
      <w:numFmt w:val="lowerRoman"/>
      <w:lvlText w:val="%6."/>
      <w:lvlJc w:val="end"/>
      <w:pPr>
        <w:tabs>
          <w:tab w:val="num" w:pos="4680"/>
        </w:tabs>
        <w:ind w:start="4680" w:hanging="180"/>
      </w:pPr>
    </w:lvl>
    <w:lvl w:ilvl="6">
      <w:start w:val="1"/>
      <w:numFmt w:val="decimal"/>
      <w:lvlText w:val="%7."/>
      <w:lvlJc w:val="start"/>
      <w:pPr>
        <w:tabs>
          <w:tab w:val="num" w:pos="5400"/>
        </w:tabs>
        <w:ind w:start="5400" w:hanging="360"/>
      </w:pPr>
    </w:lvl>
    <w:lvl w:ilvl="7">
      <w:start w:val="1"/>
      <w:numFmt w:val="lowerLetter"/>
      <w:lvlText w:val="%8."/>
      <w:lvlJc w:val="start"/>
      <w:pPr>
        <w:tabs>
          <w:tab w:val="num" w:pos="6120"/>
        </w:tabs>
        <w:ind w:start="6120" w:hanging="360"/>
      </w:pPr>
    </w:lvl>
    <w:lvl w:ilvl="8">
      <w:start w:val="1"/>
      <w:numFmt w:val="lowerRoman"/>
      <w:lvlText w:val="%9."/>
      <w:lvlJc w:val="end"/>
      <w:pPr>
        <w:tabs>
          <w:tab w:val="num" w:pos="6840"/>
        </w:tabs>
        <w:ind w:start="6840" w:hanging="180"/>
      </w:pPr>
    </w:lvl>
  </w:abstractNum>
  <w:abstractNum w:abstractNumId="20">
    <w:lvl w:ilvl="0">
      <w:start w:val="1"/>
      <w:numFmt w:val="bullet"/>
      <w:lvlText w:val=""/>
      <w:lvlJc w:val="start"/>
      <w:pPr>
        <w:tabs>
          <w:tab w:val="num" w:pos="720"/>
        </w:tabs>
        <w:ind w:start="720" w:hanging="360"/>
      </w:pPr>
      <w:rPr>
        <w:rFonts w:ascii="Symbol" w:hAnsi="Symbol" w:cs="Symbol" w:hint="default"/>
        <w:color w:val="000000"/>
      </w:rPr>
    </w:lvl>
    <w:lvl w:ilvl="1">
      <w:start w:val="1"/>
      <w:numFmt w:val="bullet"/>
      <w:lvlText w:val="o"/>
      <w:lvlJc w:val="start"/>
      <w:pPr>
        <w:tabs>
          <w:tab w:val="num" w:pos="1440"/>
        </w:tabs>
        <w:ind w:start="1440" w:hanging="360"/>
      </w:pPr>
      <w:rPr>
        <w:rFonts w:ascii="Courier New" w:hAnsi="Courier New" w:cs="Courier New" w:hint="default"/>
      </w:rPr>
    </w:lvl>
    <w:lvl w:ilvl="2">
      <w:start w:val="1"/>
      <w:numFmt w:val="bullet"/>
      <w:lvlText w:val=""/>
      <w:lvlJc w:val="start"/>
      <w:pPr>
        <w:tabs>
          <w:tab w:val="num" w:pos="2160"/>
        </w:tabs>
        <w:ind w:start="2160" w:hanging="360"/>
      </w:pPr>
      <w:rPr>
        <w:rFonts w:ascii="Wingdings" w:hAnsi="Wingdings" w:cs="Wingdings"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abstractNum w:abstractNumId="21">
    <w:lvl w:ilvl="0">
      <w:start w:val="1"/>
      <w:numFmt w:val="decimal"/>
      <w:lvlText w:val="%1."/>
      <w:lvlJc w:val="start"/>
      <w:pPr>
        <w:tabs>
          <w:tab w:val="num" w:pos="1440"/>
        </w:tabs>
        <w:ind w:start="1440" w:hanging="720"/>
      </w:pPr>
      <w:rPr/>
    </w:lvl>
    <w:lvl w:ilvl="1">
      <w:start w:val="1"/>
      <w:numFmt w:val="bullet"/>
      <w:lvlText w:val=""/>
      <w:lvlJc w:val="start"/>
      <w:pPr>
        <w:tabs>
          <w:tab w:val="num" w:pos="1800"/>
        </w:tabs>
        <w:ind w:start="1800" w:hanging="360"/>
      </w:pPr>
      <w:rPr>
        <w:rFonts w:ascii="Symbol" w:hAnsi="Symbol" w:cs="Symbol" w:hint="default"/>
        <w:color w:val="000000"/>
      </w:rPr>
    </w:lvl>
    <w:lvl w:ilvl="2">
      <w:start w:val="1"/>
      <w:numFmt w:val="lowerRoman"/>
      <w:lvlText w:val="%3."/>
      <w:lvlJc w:val="end"/>
      <w:pPr>
        <w:tabs>
          <w:tab w:val="num" w:pos="2520"/>
        </w:tabs>
        <w:ind w:start="2520" w:hanging="180"/>
      </w:pPr>
    </w:lvl>
    <w:lvl w:ilvl="3">
      <w:start w:val="1"/>
      <w:numFmt w:val="decimal"/>
      <w:lvlText w:val="%4."/>
      <w:lvlJc w:val="start"/>
      <w:pPr>
        <w:tabs>
          <w:tab w:val="num" w:pos="3240"/>
        </w:tabs>
        <w:ind w:start="3240" w:hanging="360"/>
      </w:pPr>
    </w:lvl>
    <w:lvl w:ilvl="4">
      <w:start w:val="1"/>
      <w:numFmt w:val="lowerLetter"/>
      <w:lvlText w:val="%5."/>
      <w:lvlJc w:val="start"/>
      <w:pPr>
        <w:tabs>
          <w:tab w:val="num" w:pos="3960"/>
        </w:tabs>
        <w:ind w:start="3960" w:hanging="360"/>
      </w:pPr>
    </w:lvl>
    <w:lvl w:ilvl="5">
      <w:start w:val="1"/>
      <w:numFmt w:val="lowerRoman"/>
      <w:lvlText w:val="%6."/>
      <w:lvlJc w:val="end"/>
      <w:pPr>
        <w:tabs>
          <w:tab w:val="num" w:pos="4680"/>
        </w:tabs>
        <w:ind w:start="4680" w:hanging="180"/>
      </w:pPr>
    </w:lvl>
    <w:lvl w:ilvl="6">
      <w:start w:val="1"/>
      <w:numFmt w:val="decimal"/>
      <w:lvlText w:val="%7."/>
      <w:lvlJc w:val="start"/>
      <w:pPr>
        <w:tabs>
          <w:tab w:val="num" w:pos="5400"/>
        </w:tabs>
        <w:ind w:start="5400" w:hanging="360"/>
      </w:pPr>
    </w:lvl>
    <w:lvl w:ilvl="7">
      <w:start w:val="1"/>
      <w:numFmt w:val="lowerLetter"/>
      <w:lvlText w:val="%8."/>
      <w:lvlJc w:val="start"/>
      <w:pPr>
        <w:tabs>
          <w:tab w:val="num" w:pos="6120"/>
        </w:tabs>
        <w:ind w:start="6120" w:hanging="360"/>
      </w:pPr>
    </w:lvl>
    <w:lvl w:ilvl="8">
      <w:start w:val="1"/>
      <w:numFmt w:val="lowerRoman"/>
      <w:lvlText w:val="%9."/>
      <w:lvlJc w:val="end"/>
      <w:pPr>
        <w:tabs>
          <w:tab w:val="num" w:pos="6840"/>
        </w:tabs>
        <w:ind w:start="6840" w:hanging="180"/>
      </w:pPr>
    </w:lvl>
  </w:abstractNum>
  <w:abstractNum w:abstractNumId="22">
    <w:lvl w:ilvl="0">
      <w:start w:val="1"/>
      <w:numFmt w:val="bullet"/>
      <w:lvlText w:val=""/>
      <w:lvlJc w:val="start"/>
      <w:pPr>
        <w:tabs>
          <w:tab w:val="num" w:pos="720"/>
        </w:tabs>
        <w:ind w:start="720" w:hanging="360"/>
      </w:pPr>
      <w:rPr>
        <w:rFonts w:ascii="Symbol" w:hAnsi="Symbol" w:cs="Symbol" w:hint="default"/>
        <w:color w:val="000000"/>
      </w:rPr>
    </w:lvl>
    <w:lvl w:ilvl="1">
      <w:start w:val="1"/>
      <w:numFmt w:val="bullet"/>
      <w:lvlText w:val="o"/>
      <w:lvlJc w:val="start"/>
      <w:pPr>
        <w:tabs>
          <w:tab w:val="num" w:pos="1440"/>
        </w:tabs>
        <w:ind w:start="1440" w:hanging="360"/>
      </w:pPr>
      <w:rPr>
        <w:rFonts w:ascii="Courier New" w:hAnsi="Courier New" w:cs="Courier New" w:hint="default"/>
      </w:rPr>
    </w:lvl>
    <w:lvl w:ilvl="2">
      <w:start w:val="1"/>
      <w:numFmt w:val="bullet"/>
      <w:lvlText w:val=""/>
      <w:lvlJc w:val="start"/>
      <w:pPr>
        <w:tabs>
          <w:tab w:val="num" w:pos="2160"/>
        </w:tabs>
        <w:ind w:start="2160" w:hanging="360"/>
      </w:pPr>
      <w:rPr>
        <w:rFonts w:ascii="Symbol" w:hAnsi="Symbol" w:cs="Symbol" w:hint="default"/>
        <w:color w:val="000000"/>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540" w:leader="none"/>
      </w:tabs>
      <w:bidi w:val="0"/>
    </w:pPr>
    <w:rPr>
      <w:rFonts w:ascii="Arial" w:hAnsi="Arial" w:eastAsia="Times New Roman" w:cs="Arial"/>
      <w:color w:val="auto"/>
      <w:sz w:val="24"/>
      <w:szCs w:val="20"/>
      <w:lang w:val="en-US" w:bidi="ar-SA" w:eastAsia="zh-CN"/>
    </w:rPr>
  </w:style>
  <w:style w:type="paragraph" w:styleId="Heading1">
    <w:name w:val="heading 1"/>
    <w:basedOn w:val="Normal"/>
    <w:next w:val="Normal"/>
    <w:qFormat/>
    <w:pPr>
      <w:keepNext w:val="true"/>
      <w:numPr>
        <w:ilvl w:val="0"/>
        <w:numId w:val="1"/>
      </w:numPr>
      <w:spacing w:before="240" w:after="60"/>
      <w:outlineLvl w:val="0"/>
    </w:pPr>
    <w:rPr>
      <w:b/>
      <w:kern w:val="2"/>
      <w:sz w:val="28"/>
    </w:rPr>
  </w:style>
  <w:style w:type="paragraph" w:styleId="Heading2">
    <w:name w:val="heading 2"/>
    <w:basedOn w:val="Normal"/>
    <w:next w:val="Normal"/>
    <w:qFormat/>
    <w:pPr>
      <w:keepNext w:val="true"/>
      <w:numPr>
        <w:ilvl w:val="1"/>
        <w:numId w:val="1"/>
      </w:numPr>
      <w:tabs>
        <w:tab w:val="clear" w:pos="540"/>
      </w:tabs>
      <w:jc w:val="both"/>
      <w:outlineLvl w:val="1"/>
    </w:pPr>
    <w:rPr>
      <w:rFonts w:cs="Arial"/>
      <w:b/>
      <w:bCs/>
      <w:i/>
      <w:iCs/>
      <w:sz w:val="22"/>
      <w:szCs w:val="24"/>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WW8Num1z0">
    <w:name w:val="WW8Num1z0"/>
    <w:qFormat/>
    <w:rPr>
      <w:rFonts w:ascii="Symbol" w:hAnsi="Symbol" w:cs="Symbol"/>
      <w:color w:val="000000"/>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1z3">
    <w:name w:val="WW8Num1z3"/>
    <w:qFormat/>
    <w:rPr>
      <w:rFonts w:ascii="Symbol" w:hAnsi="Symbol" w:cs="Symbol"/>
    </w:rPr>
  </w:style>
  <w:style w:type="character" w:styleId="WW8Num2z0">
    <w:name w:val="WW8Num2z0"/>
    <w:qFormat/>
    <w:rPr/>
  </w:style>
  <w:style w:type="character" w:styleId="WW8Num2z1">
    <w:name w:val="WW8Num2z1"/>
    <w:qFormat/>
    <w:rPr>
      <w:rFonts w:ascii="Symbol" w:hAnsi="Symbol" w:cs="Symbol"/>
      <w:color w:val="000000"/>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3z3">
    <w:name w:val="WW8Num3z3"/>
    <w:qFormat/>
    <w:rPr>
      <w:rFonts w:ascii="Symbol" w:hAnsi="Symbol" w:cs="Symbol"/>
    </w:rPr>
  </w:style>
  <w:style w:type="character" w:styleId="WW8Num4z0">
    <w:name w:val="WW8Num4z0"/>
    <w:qFormat/>
    <w:rPr>
      <w:rFonts w:ascii="Symbol" w:hAnsi="Symbol" w:cs="Symbol"/>
      <w:color w:val="000000"/>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4z3">
    <w:name w:val="WW8Num4z3"/>
    <w:qFormat/>
    <w:rPr>
      <w:rFonts w:ascii="Symbol" w:hAnsi="Symbol" w:cs="Symbol"/>
    </w:rPr>
  </w:style>
  <w:style w:type="character" w:styleId="WW8Num5z0">
    <w:name w:val="WW8Num5z0"/>
    <w:qFormat/>
    <w:rPr/>
  </w:style>
  <w:style w:type="character" w:styleId="WW8Num5z1">
    <w:name w:val="WW8Num5z1"/>
    <w:qFormat/>
    <w:rPr>
      <w:rFonts w:ascii="Symbol" w:hAnsi="Symbol" w:cs="Symbol"/>
      <w:color w:val="000000"/>
    </w:rPr>
  </w:style>
  <w:style w:type="character" w:styleId="WW8Num6z0">
    <w:name w:val="WW8Num6z0"/>
    <w:qFormat/>
    <w:rPr>
      <w:rFonts w:ascii="Symbol" w:hAnsi="Symbol" w:cs="Symbol"/>
      <w:color w:val="000000"/>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6z3">
    <w:name w:val="WW8Num6z3"/>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color w:val="000000"/>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WW8Num8z3">
    <w:name w:val="WW8Num8z3"/>
    <w:qFormat/>
    <w:rPr>
      <w:rFonts w:ascii="Symbol" w:hAnsi="Symbol" w:cs="Symbol"/>
    </w:rPr>
  </w:style>
  <w:style w:type="character" w:styleId="WW8Num9z0">
    <w:name w:val="WW8Num9z0"/>
    <w:qFormat/>
    <w:rPr>
      <w:rFonts w:ascii="Symbol" w:hAnsi="Symbol" w:cs="Symbol"/>
    </w:rPr>
  </w:style>
  <w:style w:type="character" w:styleId="WW8Num9z1">
    <w:name w:val="WW8Num9z1"/>
    <w:qFormat/>
    <w:rPr>
      <w:rFonts w:ascii="Courier New" w:hAnsi="Courier New" w:cs="Courier New"/>
    </w:rPr>
  </w:style>
  <w:style w:type="character" w:styleId="WW8Num9z2">
    <w:name w:val="WW8Num9z2"/>
    <w:qFormat/>
    <w:rPr>
      <w:rFonts w:ascii="Wingdings" w:hAnsi="Wingdings" w:cs="Wingdings"/>
    </w:rPr>
  </w:style>
  <w:style w:type="character" w:styleId="WW8Num10z0">
    <w:name w:val="WW8Num10z0"/>
    <w:qFormat/>
    <w:rPr>
      <w:rFonts w:ascii="Symbol" w:hAnsi="Symbol" w:cs="Symbol"/>
    </w:rPr>
  </w:style>
  <w:style w:type="character" w:styleId="WW8Num11z0">
    <w:name w:val="WW8Num11z0"/>
    <w:qFormat/>
    <w:rPr>
      <w:rFonts w:ascii="Symbol" w:hAnsi="Symbol" w:cs="Symbol"/>
    </w:rPr>
  </w:style>
  <w:style w:type="character" w:styleId="WW8Num11z1">
    <w:name w:val="WW8Num11z1"/>
    <w:qFormat/>
    <w:rPr>
      <w:rFonts w:ascii="Courier New" w:hAnsi="Courier New" w:cs="Courier New"/>
    </w:rPr>
  </w:style>
  <w:style w:type="character" w:styleId="WW8Num11z2">
    <w:name w:val="WW8Num11z2"/>
    <w:qFormat/>
    <w:rPr>
      <w:rFonts w:ascii="Wingdings" w:hAnsi="Wingdings" w:cs="Wingdings"/>
    </w:rPr>
  </w:style>
  <w:style w:type="character" w:styleId="WW8Num12z0">
    <w:name w:val="WW8Num12z0"/>
    <w:qFormat/>
    <w:rPr>
      <w:rFonts w:ascii="Symbol" w:hAnsi="Symbol" w:cs="Symbol"/>
    </w:rPr>
  </w:style>
  <w:style w:type="character" w:styleId="WW8Num12z1">
    <w:name w:val="WW8Num12z1"/>
    <w:qFormat/>
    <w:rPr>
      <w:rFonts w:ascii="Courier New" w:hAnsi="Courier New" w:cs="Courier New"/>
    </w:rPr>
  </w:style>
  <w:style w:type="character" w:styleId="WW8Num12z2">
    <w:name w:val="WW8Num12z2"/>
    <w:qFormat/>
    <w:rPr>
      <w:rFonts w:ascii="Wingdings" w:hAnsi="Wingdings" w:cs="Wingdings"/>
    </w:rPr>
  </w:style>
  <w:style w:type="character" w:styleId="WW8Num13z0">
    <w:name w:val="WW8Num13z0"/>
    <w:qFormat/>
    <w:rPr>
      <w:rFonts w:ascii="Symbol" w:hAnsi="Symbol" w:cs="Symbol"/>
    </w:rPr>
  </w:style>
  <w:style w:type="character" w:styleId="WW8Num14z0">
    <w:name w:val="WW8Num14z0"/>
    <w:qFormat/>
    <w:rPr>
      <w:rFonts w:ascii="Symbol" w:hAnsi="Symbol" w:cs="Symbol"/>
      <w:color w:val="000000"/>
    </w:rPr>
  </w:style>
  <w:style w:type="character" w:styleId="WW8Num14z1">
    <w:name w:val="WW8Num14z1"/>
    <w:qFormat/>
    <w:rPr>
      <w:rFonts w:ascii="Courier New" w:hAnsi="Courier New" w:cs="Courier New"/>
    </w:rPr>
  </w:style>
  <w:style w:type="character" w:styleId="WW8Num14z2">
    <w:name w:val="WW8Num14z2"/>
    <w:qFormat/>
    <w:rPr>
      <w:rFonts w:ascii="Wingdings" w:hAnsi="Wingdings" w:cs="Wingdings"/>
    </w:rPr>
  </w:style>
  <w:style w:type="character" w:styleId="WW8Num14z3">
    <w:name w:val="WW8Num14z3"/>
    <w:qFormat/>
    <w:rPr>
      <w:rFonts w:ascii="Symbol" w:hAnsi="Symbol" w:cs="Symbol"/>
    </w:rPr>
  </w:style>
  <w:style w:type="character" w:styleId="WW8Num15z0">
    <w:name w:val="WW8Num15z0"/>
    <w:qFormat/>
    <w:rPr>
      <w:rFonts w:ascii="Symbol" w:hAnsi="Symbol" w:cs="Symbol"/>
    </w:rPr>
  </w:style>
  <w:style w:type="character" w:styleId="WW8Num15z1">
    <w:name w:val="WW8Num15z1"/>
    <w:qFormat/>
    <w:rPr>
      <w:rFonts w:ascii="Courier New" w:hAnsi="Courier New" w:cs="Courier New"/>
    </w:rPr>
  </w:style>
  <w:style w:type="character" w:styleId="WW8Num15z2">
    <w:name w:val="WW8Num15z2"/>
    <w:qFormat/>
    <w:rPr>
      <w:rFonts w:ascii="Wingdings" w:hAnsi="Wingdings" w:cs="Wingdings"/>
    </w:rPr>
  </w:style>
  <w:style w:type="character" w:styleId="WW8Num16z0">
    <w:name w:val="WW8Num16z0"/>
    <w:qFormat/>
    <w:rPr>
      <w:rFonts w:ascii="Symbol" w:hAnsi="Symbol" w:cs="Symbol"/>
      <w:color w:val="000000"/>
    </w:rPr>
  </w:style>
  <w:style w:type="character" w:styleId="WW8Num16z3">
    <w:name w:val="WW8Num16z3"/>
    <w:qFormat/>
    <w:rPr>
      <w:rFonts w:ascii="Symbol" w:hAnsi="Symbol" w:cs="Symbol"/>
    </w:rPr>
  </w:style>
  <w:style w:type="character" w:styleId="WW8Num16z4">
    <w:name w:val="WW8Num16z4"/>
    <w:qFormat/>
    <w:rPr>
      <w:rFonts w:ascii="Courier New" w:hAnsi="Courier New" w:cs="Courier New"/>
    </w:rPr>
  </w:style>
  <w:style w:type="character" w:styleId="WW8Num16z5">
    <w:name w:val="WW8Num16z5"/>
    <w:qFormat/>
    <w:rPr>
      <w:rFonts w:ascii="Wingdings" w:hAnsi="Wingdings" w:cs="Wingdings"/>
    </w:rPr>
  </w:style>
  <w:style w:type="character" w:styleId="WW8Num17z0">
    <w:name w:val="WW8Num17z0"/>
    <w:qFormat/>
    <w:rPr>
      <w:rFonts w:ascii="Symbol" w:hAnsi="Symbol" w:cs="Symbol"/>
      <w:color w:val="000000"/>
    </w:rPr>
  </w:style>
  <w:style w:type="character" w:styleId="WW8Num17z1">
    <w:name w:val="WW8Num17z1"/>
    <w:qFormat/>
    <w:rPr>
      <w:rFonts w:ascii="Courier New" w:hAnsi="Courier New" w:cs="Courier New"/>
    </w:rPr>
  </w:style>
  <w:style w:type="character" w:styleId="WW8Num17z2">
    <w:name w:val="WW8Num17z2"/>
    <w:qFormat/>
    <w:rPr>
      <w:rFonts w:ascii="Wingdings" w:hAnsi="Wingdings" w:cs="Wingdings"/>
    </w:rPr>
  </w:style>
  <w:style w:type="character" w:styleId="WW8Num17z3">
    <w:name w:val="WW8Num17z3"/>
    <w:qFormat/>
    <w:rPr>
      <w:rFonts w:ascii="Symbol" w:hAnsi="Symbol" w:cs="Symbol"/>
    </w:rPr>
  </w:style>
  <w:style w:type="character" w:styleId="WW8Num18z0">
    <w:name w:val="WW8Num18z0"/>
    <w:qFormat/>
    <w:rPr/>
  </w:style>
  <w:style w:type="character" w:styleId="WW8Num19z0">
    <w:name w:val="WW8Num19z0"/>
    <w:qFormat/>
    <w:rPr>
      <w:rFonts w:ascii="Symbol" w:hAnsi="Symbol" w:cs="Symbol"/>
      <w:color w:val="000000"/>
    </w:rPr>
  </w:style>
  <w:style w:type="character" w:styleId="WW8Num19z1">
    <w:name w:val="WW8Num19z1"/>
    <w:qFormat/>
    <w:rPr>
      <w:rFonts w:ascii="Courier New" w:hAnsi="Courier New" w:cs="Courier New"/>
    </w:rPr>
  </w:style>
  <w:style w:type="character" w:styleId="WW8Num19z2">
    <w:name w:val="WW8Num19z2"/>
    <w:qFormat/>
    <w:rPr>
      <w:rFonts w:ascii="Wingdings" w:hAnsi="Wingdings" w:cs="Wingdings"/>
    </w:rPr>
  </w:style>
  <w:style w:type="character" w:styleId="WW8Num19z3">
    <w:name w:val="WW8Num19z3"/>
    <w:qFormat/>
    <w:rPr>
      <w:rFonts w:ascii="Symbol" w:hAnsi="Symbol" w:cs="Symbol"/>
    </w:rPr>
  </w:style>
  <w:style w:type="character" w:styleId="WW8Num20z0">
    <w:name w:val="WW8Num20z0"/>
    <w:qFormat/>
    <w:rPr>
      <w:rFonts w:ascii="Symbol" w:hAnsi="Symbol" w:cs="Symbol"/>
      <w:color w:val="000000"/>
    </w:rPr>
  </w:style>
  <w:style w:type="character" w:styleId="WW8Num20z1">
    <w:name w:val="WW8Num20z1"/>
    <w:qFormat/>
    <w:rPr>
      <w:rFonts w:ascii="Courier New" w:hAnsi="Courier New" w:cs="Courier New"/>
    </w:rPr>
  </w:style>
  <w:style w:type="character" w:styleId="WW8Num20z2">
    <w:name w:val="WW8Num20z2"/>
    <w:qFormat/>
    <w:rPr>
      <w:rFonts w:ascii="Wingdings" w:hAnsi="Wingdings" w:cs="Wingdings"/>
    </w:rPr>
  </w:style>
  <w:style w:type="character" w:styleId="WW8Num20z3">
    <w:name w:val="WW8Num20z3"/>
    <w:qFormat/>
    <w:rPr>
      <w:rFonts w:ascii="Symbol" w:hAnsi="Symbol" w:cs="Symbol"/>
    </w:rPr>
  </w:style>
  <w:style w:type="character" w:styleId="WW8Num21z0">
    <w:name w:val="WW8Num21z0"/>
    <w:qFormat/>
    <w:rPr>
      <w:rFonts w:ascii="Symbol" w:hAnsi="Symbol" w:cs="Symbol"/>
      <w:color w:val="000000"/>
    </w:rPr>
  </w:style>
  <w:style w:type="character" w:styleId="WW8Num21z1">
    <w:name w:val="WW8Num21z1"/>
    <w:qFormat/>
    <w:rPr>
      <w:rFonts w:ascii="Courier New" w:hAnsi="Courier New" w:cs="Courier New"/>
    </w:rPr>
  </w:style>
  <w:style w:type="character" w:styleId="WW8Num21z2">
    <w:name w:val="WW8Num21z2"/>
    <w:qFormat/>
    <w:rPr>
      <w:rFonts w:ascii="Wingdings" w:hAnsi="Wingdings" w:cs="Wingdings"/>
    </w:rPr>
  </w:style>
  <w:style w:type="character" w:styleId="WW8Num21z3">
    <w:name w:val="WW8Num21z3"/>
    <w:qFormat/>
    <w:rPr>
      <w:rFonts w:ascii="Symbol" w:hAnsi="Symbol" w:cs="Symbol"/>
    </w:rPr>
  </w:style>
  <w:style w:type="character" w:styleId="WW8Num22z0">
    <w:name w:val="WW8Num22z0"/>
    <w:qFormat/>
    <w:rPr/>
  </w:style>
  <w:style w:type="character" w:styleId="WW8Num23z0">
    <w:name w:val="WW8Num23z0"/>
    <w:qFormat/>
    <w:rPr>
      <w:rFonts w:cs="Arial"/>
    </w:rPr>
  </w:style>
  <w:style w:type="character" w:styleId="WW8Num23z1">
    <w:name w:val="WW8Num23z1"/>
    <w:qFormat/>
    <w:rPr>
      <w:rFonts w:ascii="Courier New" w:hAnsi="Courier New" w:cs="Courier New"/>
    </w:rPr>
  </w:style>
  <w:style w:type="character" w:styleId="WW8Num23z2">
    <w:name w:val="WW8Num23z2"/>
    <w:qFormat/>
    <w:rPr>
      <w:rFonts w:ascii="Wingdings" w:hAnsi="Wingdings" w:cs="Wingdings"/>
    </w:rPr>
  </w:style>
  <w:style w:type="character" w:styleId="WW8Num23z3">
    <w:name w:val="WW8Num23z3"/>
    <w:qFormat/>
    <w:rPr>
      <w:rFonts w:ascii="Symbol" w:hAnsi="Symbol" w:cs="Symbol"/>
    </w:rPr>
  </w:style>
  <w:style w:type="character" w:styleId="WW8Num24z0">
    <w:name w:val="WW8Num24z0"/>
    <w:qFormat/>
    <w:rPr>
      <w:rFonts w:ascii="Symbol" w:hAnsi="Symbol" w:cs="Symbol"/>
    </w:rPr>
  </w:style>
  <w:style w:type="character" w:styleId="WW8Num24z1">
    <w:name w:val="WW8Num24z1"/>
    <w:qFormat/>
    <w:rPr>
      <w:rFonts w:ascii="Courier New" w:hAnsi="Courier New" w:cs="Courier New"/>
    </w:rPr>
  </w:style>
  <w:style w:type="character" w:styleId="WW8Num24z2">
    <w:name w:val="WW8Num24z2"/>
    <w:qFormat/>
    <w:rPr>
      <w:rFonts w:ascii="Wingdings" w:hAnsi="Wingdings" w:cs="Wingdings"/>
    </w:rPr>
  </w:style>
  <w:style w:type="character" w:styleId="WW8Num25z0">
    <w:name w:val="WW8Num25z0"/>
    <w:qFormat/>
    <w:rPr>
      <w:rFonts w:ascii="Symbol" w:hAnsi="Symbol" w:cs="Symbol"/>
      <w:color w:val="000000"/>
    </w:rPr>
  </w:style>
  <w:style w:type="character" w:styleId="WW8Num25z1">
    <w:name w:val="WW8Num25z1"/>
    <w:qFormat/>
    <w:rPr>
      <w:rFonts w:ascii="Courier New" w:hAnsi="Courier New" w:cs="Courier New"/>
    </w:rPr>
  </w:style>
  <w:style w:type="character" w:styleId="WW8Num25z2">
    <w:name w:val="WW8Num25z2"/>
    <w:qFormat/>
    <w:rPr>
      <w:rFonts w:ascii="Wingdings" w:hAnsi="Wingdings" w:cs="Wingdings"/>
    </w:rPr>
  </w:style>
  <w:style w:type="character" w:styleId="WW8Num25z3">
    <w:name w:val="WW8Num25z3"/>
    <w:qFormat/>
    <w:rPr>
      <w:rFonts w:ascii="Symbol" w:hAnsi="Symbol" w:cs="Symbol"/>
    </w:rPr>
  </w:style>
  <w:style w:type="character" w:styleId="WW8Num26z0">
    <w:name w:val="WW8Num26z0"/>
    <w:qFormat/>
    <w:rPr>
      <w:rFonts w:ascii="Symbol" w:hAnsi="Symbol" w:cs="Symbol"/>
    </w:rPr>
  </w:style>
  <w:style w:type="character" w:styleId="WW8Num26z1">
    <w:name w:val="WW8Num26z1"/>
    <w:qFormat/>
    <w:rPr>
      <w:rFonts w:ascii="Courier New" w:hAnsi="Courier New" w:cs="Courier New"/>
    </w:rPr>
  </w:style>
  <w:style w:type="character" w:styleId="WW8Num26z2">
    <w:name w:val="WW8Num26z2"/>
    <w:qFormat/>
    <w:rPr>
      <w:rFonts w:ascii="Wingdings" w:hAnsi="Wingdings" w:cs="Wingdings"/>
    </w:rPr>
  </w:style>
  <w:style w:type="character" w:styleId="WW8Num27z0">
    <w:name w:val="WW8Num27z0"/>
    <w:qFormat/>
    <w:rPr>
      <w:rFonts w:ascii="Symbol" w:hAnsi="Symbol" w:cs="Symbol"/>
    </w:rPr>
  </w:style>
  <w:style w:type="character" w:styleId="WW8Num27z1">
    <w:name w:val="WW8Num27z1"/>
    <w:qFormat/>
    <w:rPr>
      <w:rFonts w:ascii="Courier New" w:hAnsi="Courier New" w:cs="Courier New"/>
    </w:rPr>
  </w:style>
  <w:style w:type="character" w:styleId="WW8Num27z2">
    <w:name w:val="WW8Num27z2"/>
    <w:qFormat/>
    <w:rPr>
      <w:rFonts w:ascii="Wingdings" w:hAnsi="Wingdings" w:cs="Wingdings"/>
    </w:rPr>
  </w:style>
  <w:style w:type="character" w:styleId="WW8Num28z0">
    <w:name w:val="WW8Num28z0"/>
    <w:qFormat/>
    <w:rPr/>
  </w:style>
  <w:style w:type="character" w:styleId="WW8Num29z0">
    <w:name w:val="WW8Num29z0"/>
    <w:qFormat/>
    <w:rPr>
      <w:rFonts w:ascii="Symbol" w:hAnsi="Symbol" w:cs="Symbol"/>
    </w:rPr>
  </w:style>
  <w:style w:type="character" w:styleId="WW8Num30z0">
    <w:name w:val="WW8Num30z0"/>
    <w:qFormat/>
    <w:rPr>
      <w:rFonts w:ascii="Symbol" w:hAnsi="Symbol" w:cs="Symbol"/>
      <w:color w:val="000000"/>
    </w:rPr>
  </w:style>
  <w:style w:type="character" w:styleId="WW8Num30z1">
    <w:name w:val="WW8Num30z1"/>
    <w:qFormat/>
    <w:rPr>
      <w:rFonts w:ascii="Courier New" w:hAnsi="Courier New" w:cs="Courier New"/>
    </w:rPr>
  </w:style>
  <w:style w:type="character" w:styleId="WW8Num30z2">
    <w:name w:val="WW8Num30z2"/>
    <w:qFormat/>
    <w:rPr>
      <w:rFonts w:ascii="Wingdings" w:hAnsi="Wingdings" w:cs="Wingdings"/>
    </w:rPr>
  </w:style>
  <w:style w:type="character" w:styleId="WW8Num30z3">
    <w:name w:val="WW8Num30z3"/>
    <w:qFormat/>
    <w:rPr>
      <w:rFonts w:ascii="Symbol" w:hAnsi="Symbol" w:cs="Symbol"/>
    </w:rPr>
  </w:style>
  <w:style w:type="character" w:styleId="WW8Num31z0">
    <w:name w:val="WW8Num31z0"/>
    <w:qFormat/>
    <w:rPr>
      <w:rFonts w:ascii="Symbol" w:hAnsi="Symbol" w:cs="Symbol"/>
      <w:color w:val="000000"/>
    </w:rPr>
  </w:style>
  <w:style w:type="character" w:styleId="WW8Num31z1">
    <w:name w:val="WW8Num31z1"/>
    <w:qFormat/>
    <w:rPr>
      <w:rFonts w:ascii="Courier New" w:hAnsi="Courier New" w:cs="Courier New"/>
    </w:rPr>
  </w:style>
  <w:style w:type="character" w:styleId="WW8Num31z2">
    <w:name w:val="WW8Num31z2"/>
    <w:qFormat/>
    <w:rPr>
      <w:rFonts w:ascii="Wingdings" w:hAnsi="Wingdings" w:cs="Wingdings"/>
    </w:rPr>
  </w:style>
  <w:style w:type="character" w:styleId="WW8Num31z3">
    <w:name w:val="WW8Num31z3"/>
    <w:qFormat/>
    <w:rPr>
      <w:rFonts w:ascii="Symbol" w:hAnsi="Symbol" w:cs="Symbol"/>
    </w:rPr>
  </w:style>
  <w:style w:type="character" w:styleId="WW8Num32z0">
    <w:name w:val="WW8Num32z0"/>
    <w:qFormat/>
    <w:rPr>
      <w:rFonts w:ascii="Symbol" w:hAnsi="Symbol" w:cs="Symbol"/>
    </w:rPr>
  </w:style>
  <w:style w:type="character" w:styleId="WW8Num32z1">
    <w:name w:val="WW8Num32z1"/>
    <w:qFormat/>
    <w:rPr>
      <w:rFonts w:ascii="Courier New" w:hAnsi="Courier New" w:cs="Courier New"/>
    </w:rPr>
  </w:style>
  <w:style w:type="character" w:styleId="WW8Num32z2">
    <w:name w:val="WW8Num32z2"/>
    <w:qFormat/>
    <w:rPr>
      <w:rFonts w:ascii="Wingdings" w:hAnsi="Wingdings" w:cs="Wingdings"/>
    </w:rPr>
  </w:style>
  <w:style w:type="character" w:styleId="WW8Num33z0">
    <w:name w:val="WW8Num33z0"/>
    <w:qFormat/>
    <w:rPr>
      <w:rFonts w:ascii="Symbol" w:hAnsi="Symbol" w:cs="Symbol"/>
      <w:color w:val="000000"/>
    </w:rPr>
  </w:style>
  <w:style w:type="character" w:styleId="WW8Num33z1">
    <w:name w:val="WW8Num33z1"/>
    <w:qFormat/>
    <w:rPr>
      <w:rFonts w:ascii="Courier New" w:hAnsi="Courier New" w:cs="Courier New"/>
    </w:rPr>
  </w:style>
  <w:style w:type="character" w:styleId="WW8Num33z2">
    <w:name w:val="WW8Num33z2"/>
    <w:qFormat/>
    <w:rPr>
      <w:rFonts w:ascii="Wingdings" w:hAnsi="Wingdings" w:cs="Wingdings"/>
    </w:rPr>
  </w:style>
  <w:style w:type="character" w:styleId="WW8Num33z3">
    <w:name w:val="WW8Num33z3"/>
    <w:qFormat/>
    <w:rPr>
      <w:rFonts w:ascii="Symbol" w:hAnsi="Symbol" w:cs="Symbol"/>
    </w:rPr>
  </w:style>
  <w:style w:type="character" w:styleId="WW8Num34z0">
    <w:name w:val="WW8Num34z0"/>
    <w:qFormat/>
    <w:rPr>
      <w:rFonts w:ascii="Symbol" w:hAnsi="Symbol" w:cs="Symbol"/>
    </w:rPr>
  </w:style>
  <w:style w:type="character" w:styleId="WW8Num34z1">
    <w:name w:val="WW8Num34z1"/>
    <w:qFormat/>
    <w:rPr>
      <w:rFonts w:ascii="Courier New" w:hAnsi="Courier New" w:cs="Courier New"/>
    </w:rPr>
  </w:style>
  <w:style w:type="character" w:styleId="WW8Num34z2">
    <w:name w:val="WW8Num34z2"/>
    <w:qFormat/>
    <w:rPr>
      <w:rFonts w:ascii="Wingdings" w:hAnsi="Wingdings" w:cs="Wingdings"/>
    </w:rPr>
  </w:style>
  <w:style w:type="character" w:styleId="WW8Num35z0">
    <w:name w:val="WW8Num35z0"/>
    <w:qFormat/>
    <w:rPr>
      <w:rFonts w:ascii="Symbol" w:hAnsi="Symbol" w:cs="Symbol"/>
      <w:color w:val="000000"/>
    </w:rPr>
  </w:style>
  <w:style w:type="character" w:styleId="WW8Num35z1">
    <w:name w:val="WW8Num35z1"/>
    <w:qFormat/>
    <w:rPr>
      <w:rFonts w:ascii="Courier New" w:hAnsi="Courier New" w:cs="Courier New"/>
    </w:rPr>
  </w:style>
  <w:style w:type="character" w:styleId="WW8Num35z2">
    <w:name w:val="WW8Num35z2"/>
    <w:qFormat/>
    <w:rPr>
      <w:rFonts w:ascii="Wingdings" w:hAnsi="Wingdings" w:cs="Wingdings"/>
    </w:rPr>
  </w:style>
  <w:style w:type="character" w:styleId="WW8Num35z3">
    <w:name w:val="WW8Num35z3"/>
    <w:qFormat/>
    <w:rPr>
      <w:rFonts w:ascii="Symbol" w:hAnsi="Symbol" w:cs="Symbol"/>
    </w:rPr>
  </w:style>
  <w:style w:type="character" w:styleId="WW8Num36z0">
    <w:name w:val="WW8Num36z0"/>
    <w:qFormat/>
    <w:rPr>
      <w:rFonts w:ascii="Symbol" w:hAnsi="Symbol" w:cs="Symbol"/>
      <w:color w:val="000000"/>
    </w:rPr>
  </w:style>
  <w:style w:type="character" w:styleId="WW8Num36z1">
    <w:name w:val="WW8Num36z1"/>
    <w:qFormat/>
    <w:rPr>
      <w:rFonts w:ascii="Courier New" w:hAnsi="Courier New" w:cs="Courier New"/>
    </w:rPr>
  </w:style>
  <w:style w:type="character" w:styleId="WW8Num36z2">
    <w:name w:val="WW8Num36z2"/>
    <w:qFormat/>
    <w:rPr>
      <w:rFonts w:ascii="Wingdings" w:hAnsi="Wingdings" w:cs="Wingdings"/>
    </w:rPr>
  </w:style>
  <w:style w:type="character" w:styleId="WW8Num36z3">
    <w:name w:val="WW8Num36z3"/>
    <w:qFormat/>
    <w:rPr>
      <w:rFonts w:ascii="Symbol" w:hAnsi="Symbol" w:cs="Symbol"/>
    </w:rPr>
  </w:style>
  <w:style w:type="character" w:styleId="WW8Num37z0">
    <w:name w:val="WW8Num37z0"/>
    <w:qFormat/>
    <w:rPr>
      <w:rFonts w:ascii="Symbol" w:hAnsi="Symbol" w:cs="Symbol"/>
    </w:rPr>
  </w:style>
  <w:style w:type="character" w:styleId="WW8Num38z0">
    <w:name w:val="WW8Num38z0"/>
    <w:qFormat/>
    <w:rPr>
      <w:rFonts w:ascii="Symbol" w:hAnsi="Symbol" w:cs="Symbol"/>
    </w:rPr>
  </w:style>
  <w:style w:type="character" w:styleId="WW8Num38z1">
    <w:name w:val="WW8Num38z1"/>
    <w:qFormat/>
    <w:rPr>
      <w:rFonts w:ascii="Courier New" w:hAnsi="Courier New" w:cs="Courier New"/>
    </w:rPr>
  </w:style>
  <w:style w:type="character" w:styleId="WW8Num38z2">
    <w:name w:val="WW8Num38z2"/>
    <w:qFormat/>
    <w:rPr>
      <w:rFonts w:ascii="Wingdings" w:hAnsi="Wingdings" w:cs="Wingdings"/>
    </w:rPr>
  </w:style>
  <w:style w:type="character" w:styleId="WW8Num39z0">
    <w:name w:val="WW8Num39z0"/>
    <w:qFormat/>
    <w:rPr>
      <w:rFonts w:ascii="Symbol" w:hAnsi="Symbol" w:cs="Symbol"/>
      <w:color w:val="000000"/>
    </w:rPr>
  </w:style>
  <w:style w:type="character" w:styleId="WW8Num39z1">
    <w:name w:val="WW8Num39z1"/>
    <w:qFormat/>
    <w:rPr>
      <w:rFonts w:ascii="Courier New" w:hAnsi="Courier New" w:cs="Courier New"/>
    </w:rPr>
  </w:style>
  <w:style w:type="character" w:styleId="WW8Num39z3">
    <w:name w:val="WW8Num39z3"/>
    <w:qFormat/>
    <w:rPr>
      <w:rFonts w:ascii="Symbol" w:hAnsi="Symbol" w:cs="Symbol"/>
    </w:rPr>
  </w:style>
  <w:style w:type="character" w:styleId="WW8Num39z5">
    <w:name w:val="WW8Num39z5"/>
    <w:qFormat/>
    <w:rPr>
      <w:rFonts w:ascii="Wingdings" w:hAnsi="Wingdings" w:cs="Wingdings"/>
    </w:rPr>
  </w:style>
  <w:style w:type="character" w:styleId="WW8Num40z0">
    <w:name w:val="WW8Num40z0"/>
    <w:qFormat/>
    <w:rPr>
      <w:rFonts w:ascii="Symbol" w:hAnsi="Symbol" w:cs="Symbol"/>
      <w:color w:val="000000"/>
    </w:rPr>
  </w:style>
  <w:style w:type="character" w:styleId="WW8Num40z1">
    <w:name w:val="WW8Num40z1"/>
    <w:qFormat/>
    <w:rPr>
      <w:rFonts w:ascii="Courier New" w:hAnsi="Courier New" w:cs="Courier New"/>
    </w:rPr>
  </w:style>
  <w:style w:type="character" w:styleId="WW8Num40z2">
    <w:name w:val="WW8Num40z2"/>
    <w:qFormat/>
    <w:rPr>
      <w:rFonts w:ascii="Wingdings" w:hAnsi="Wingdings" w:cs="Wingdings"/>
    </w:rPr>
  </w:style>
  <w:style w:type="character" w:styleId="WW8Num40z3">
    <w:name w:val="WW8Num40z3"/>
    <w:qFormat/>
    <w:rPr>
      <w:rFonts w:ascii="Symbol" w:hAnsi="Symbol" w:cs="Symbol"/>
    </w:rPr>
  </w:style>
  <w:style w:type="character" w:styleId="WW8Num41z0">
    <w:name w:val="WW8Num41z0"/>
    <w:qFormat/>
    <w:rPr>
      <w:rFonts w:ascii="Symbol" w:hAnsi="Symbol" w:cs="Symbol"/>
      <w:color w:val="000000"/>
    </w:rPr>
  </w:style>
  <w:style w:type="character" w:styleId="WW8Num41z1">
    <w:name w:val="WW8Num41z1"/>
    <w:qFormat/>
    <w:rPr>
      <w:rFonts w:ascii="Courier New" w:hAnsi="Courier New" w:cs="Courier New"/>
    </w:rPr>
  </w:style>
  <w:style w:type="character" w:styleId="WW8Num41z2">
    <w:name w:val="WW8Num41z2"/>
    <w:qFormat/>
    <w:rPr>
      <w:rFonts w:ascii="Wingdings" w:hAnsi="Wingdings" w:cs="Wingdings"/>
    </w:rPr>
  </w:style>
  <w:style w:type="character" w:styleId="WW8Num41z3">
    <w:name w:val="WW8Num41z3"/>
    <w:qFormat/>
    <w:rPr>
      <w:rFonts w:ascii="Symbol" w:hAnsi="Symbol" w:cs="Symbol"/>
    </w:rPr>
  </w:style>
  <w:style w:type="character" w:styleId="WW8Num42z0">
    <w:name w:val="WW8Num42z0"/>
    <w:qFormat/>
    <w:rPr>
      <w:rFonts w:ascii="Symbol" w:hAnsi="Symbol" w:cs="Symbol"/>
      <w:color w:val="000000"/>
    </w:rPr>
  </w:style>
  <w:style w:type="character" w:styleId="WW8Num42z1">
    <w:name w:val="WW8Num42z1"/>
    <w:qFormat/>
    <w:rPr>
      <w:rFonts w:ascii="Courier New" w:hAnsi="Courier New" w:cs="Courier New"/>
    </w:rPr>
  </w:style>
  <w:style w:type="character" w:styleId="WW8Num42z2">
    <w:name w:val="WW8Num42z2"/>
    <w:qFormat/>
    <w:rPr>
      <w:rFonts w:ascii="Wingdings" w:hAnsi="Wingdings" w:cs="Wingdings"/>
    </w:rPr>
  </w:style>
  <w:style w:type="character" w:styleId="WW8Num42z3">
    <w:name w:val="WW8Num42z3"/>
    <w:qFormat/>
    <w:rPr>
      <w:rFonts w:ascii="Symbol" w:hAnsi="Symbol" w:cs="Symbol"/>
    </w:rPr>
  </w:style>
  <w:style w:type="character" w:styleId="WW8Num43z0">
    <w:name w:val="WW8Num43z0"/>
    <w:qFormat/>
    <w:rPr>
      <w:rFonts w:ascii="Symbol" w:hAnsi="Symbol" w:cs="Symbol"/>
      <w:color w:val="000000"/>
    </w:rPr>
  </w:style>
  <w:style w:type="character" w:styleId="WW8Num43z1">
    <w:name w:val="WW8Num43z1"/>
    <w:qFormat/>
    <w:rPr>
      <w:rFonts w:ascii="Courier New" w:hAnsi="Courier New" w:cs="Courier New"/>
    </w:rPr>
  </w:style>
  <w:style w:type="character" w:styleId="WW8Num43z2">
    <w:name w:val="WW8Num43z2"/>
    <w:qFormat/>
    <w:rPr>
      <w:rFonts w:ascii="Wingdings" w:hAnsi="Wingdings" w:cs="Wingdings"/>
    </w:rPr>
  </w:style>
  <w:style w:type="character" w:styleId="WW8Num43z3">
    <w:name w:val="WW8Num43z3"/>
    <w:qFormat/>
    <w:rPr>
      <w:rFonts w:ascii="Symbol" w:hAnsi="Symbol" w:cs="Symbol"/>
    </w:rPr>
  </w:style>
  <w:style w:type="character" w:styleId="WW8Num44z0">
    <w:name w:val="WW8Num44z0"/>
    <w:qFormat/>
    <w:rPr/>
  </w:style>
  <w:style w:type="character" w:styleId="WW8Num44z1">
    <w:name w:val="WW8Num44z1"/>
    <w:qFormat/>
    <w:rPr>
      <w:rFonts w:ascii="Symbol" w:hAnsi="Symbol" w:cs="Symbol"/>
      <w:color w:val="000000"/>
    </w:rPr>
  </w:style>
  <w:style w:type="character" w:styleId="WW8Num45z0">
    <w:name w:val="WW8Num45z0"/>
    <w:qFormat/>
    <w:rPr>
      <w:rFonts w:ascii="Symbol" w:hAnsi="Symbol" w:cs="Symbol"/>
      <w:color w:val="000000"/>
    </w:rPr>
  </w:style>
  <w:style w:type="character" w:styleId="WW8Num45z1">
    <w:name w:val="WW8Num45z1"/>
    <w:qFormat/>
    <w:rPr>
      <w:rFonts w:ascii="Courier New" w:hAnsi="Courier New" w:cs="Courier New"/>
    </w:rPr>
  </w:style>
  <w:style w:type="character" w:styleId="WW8Num45z2">
    <w:name w:val="WW8Num45z2"/>
    <w:qFormat/>
    <w:rPr>
      <w:rFonts w:ascii="Wingdings" w:hAnsi="Wingdings" w:cs="Wingdings"/>
    </w:rPr>
  </w:style>
  <w:style w:type="character" w:styleId="WW8Num45z3">
    <w:name w:val="WW8Num45z3"/>
    <w:qFormat/>
    <w:rPr>
      <w:rFonts w:ascii="Symbol" w:hAnsi="Symbol" w:cs="Symbol"/>
    </w:rPr>
  </w:style>
  <w:style w:type="character" w:styleId="WW8Num46z0">
    <w:name w:val="WW8Num46z0"/>
    <w:qFormat/>
    <w:rPr>
      <w:rFonts w:ascii="Symbol" w:hAnsi="Symbol" w:cs="Symbol"/>
    </w:rPr>
  </w:style>
  <w:style w:type="character" w:styleId="WW8Num47z0">
    <w:name w:val="WW8Num47z0"/>
    <w:qFormat/>
    <w:rPr>
      <w:rFonts w:ascii="Symbol" w:hAnsi="Symbol" w:cs="Symbol"/>
    </w:rPr>
  </w:style>
  <w:style w:type="character" w:styleId="WW8Num47z1">
    <w:name w:val="WW8Num47z1"/>
    <w:qFormat/>
    <w:rPr>
      <w:rFonts w:ascii="Courier New" w:hAnsi="Courier New" w:cs="Courier New"/>
    </w:rPr>
  </w:style>
  <w:style w:type="character" w:styleId="WW8Num47z2">
    <w:name w:val="WW8Num47z2"/>
    <w:qFormat/>
    <w:rPr>
      <w:rFonts w:ascii="Wingdings" w:hAnsi="Wingdings" w:cs="Wingdings"/>
    </w:rPr>
  </w:style>
  <w:style w:type="character" w:styleId="WW8Num48z0">
    <w:name w:val="WW8Num48z0"/>
    <w:qFormat/>
    <w:rPr>
      <w:rFonts w:ascii="Symbol" w:hAnsi="Symbol" w:cs="Symbol"/>
    </w:rPr>
  </w:style>
  <w:style w:type="character" w:styleId="WW8Num48z1">
    <w:name w:val="WW8Num48z1"/>
    <w:qFormat/>
    <w:rPr>
      <w:rFonts w:ascii="Courier New" w:hAnsi="Courier New" w:cs="Courier New"/>
    </w:rPr>
  </w:style>
  <w:style w:type="character" w:styleId="WW8Num48z2">
    <w:name w:val="WW8Num48z2"/>
    <w:qFormat/>
    <w:rPr>
      <w:rFonts w:ascii="Wingdings" w:hAnsi="Wingdings" w:cs="Wingdings"/>
    </w:rPr>
  </w:style>
  <w:style w:type="character" w:styleId="WW8Num49z0">
    <w:name w:val="WW8Num49z0"/>
    <w:qFormat/>
    <w:rPr/>
  </w:style>
  <w:style w:type="character" w:styleId="WW8Num49z1">
    <w:name w:val="WW8Num49z1"/>
    <w:qFormat/>
    <w:rPr>
      <w:rFonts w:ascii="Symbol" w:hAnsi="Symbol" w:cs="Symbol"/>
      <w:color w:val="000000"/>
    </w:rPr>
  </w:style>
  <w:style w:type="character" w:styleId="WW8Num50z0">
    <w:name w:val="WW8Num50z0"/>
    <w:qFormat/>
    <w:rPr/>
  </w:style>
  <w:style w:type="character" w:styleId="WW8Num51z0">
    <w:name w:val="WW8Num51z0"/>
    <w:qFormat/>
    <w:rPr>
      <w:rFonts w:ascii="Symbol" w:hAnsi="Symbol" w:cs="Symbol"/>
      <w:color w:val="000000"/>
    </w:rPr>
  </w:style>
  <w:style w:type="character" w:styleId="WW8Num51z1">
    <w:name w:val="WW8Num51z1"/>
    <w:qFormat/>
    <w:rPr>
      <w:rFonts w:ascii="Courier New" w:hAnsi="Courier New" w:cs="Courier New"/>
    </w:rPr>
  </w:style>
  <w:style w:type="character" w:styleId="WW8Num51z3">
    <w:name w:val="WW8Num51z3"/>
    <w:qFormat/>
    <w:rPr>
      <w:rFonts w:ascii="Symbol" w:hAnsi="Symbol" w:cs="Symbol"/>
    </w:rPr>
  </w:style>
  <w:style w:type="character" w:styleId="WW8Num51z5">
    <w:name w:val="WW8Num51z5"/>
    <w:qFormat/>
    <w:rPr>
      <w:rFonts w:ascii="Wingdings" w:hAnsi="Wingdings" w:cs="Wingdings"/>
    </w:rPr>
  </w:style>
  <w:style w:type="character" w:styleId="DefaultParagraphFont">
    <w:name w:val="Default Paragraph Font"/>
    <w:qFormat/>
    <w:rPr/>
  </w:style>
  <w:style w:type="paragraph" w:styleId="Heading">
    <w:name w:val="Heading"/>
    <w:basedOn w:val="Normal"/>
    <w:next w:val="BodyText"/>
    <w:qFormat/>
    <w:pPr>
      <w:tabs>
        <w:tab w:val="clear" w:pos="540"/>
      </w:tabs>
    </w:pPr>
    <w:rPr>
      <w:b/>
    </w:rPr>
  </w:style>
  <w:style w:type="paragraph" w:styleId="BodyText">
    <w:name w:val="Body Text"/>
    <w:basedOn w:val="Normal"/>
    <w:pPr>
      <w:tabs>
        <w:tab w:val="clear" w:pos="540"/>
      </w:tabs>
      <w:jc w:val="both"/>
    </w:pPr>
    <w:rPr>
      <w:rFonts w:cs="Arial"/>
      <w:b/>
      <w:bCs/>
      <w:i/>
      <w:iCs/>
      <w:sz w:val="22"/>
      <w:szCs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Header">
    <w:name w:val="header"/>
    <w:basedOn w:val="Normal"/>
    <w:pPr>
      <w:tabs>
        <w:tab w:val="clear" w:pos="540"/>
        <w:tab w:val="center" w:pos="4320" w:leader="none"/>
        <w:tab w:val="right" w:pos="8640" w:leader="none"/>
        <w:tab w:val="right" w:pos="9360" w:leader="none"/>
      </w:tabs>
    </w:pPr>
    <w:rPr/>
  </w:style>
  <w:style w:type="paragraph" w:styleId="Subject">
    <w:name w:val="Subject"/>
    <w:basedOn w:val="Normal"/>
    <w:qFormat/>
    <w:pPr>
      <w:tabs>
        <w:tab w:val="clear" w:pos="540"/>
      </w:tabs>
    </w:pPr>
    <w:rPr>
      <w:sz w:val="20"/>
    </w:rPr>
  </w:style>
  <w:style w:type="paragraph" w:styleId="Date">
    <w:name w:val="Date"/>
    <w:basedOn w:val="Normal"/>
    <w:qFormat/>
    <w:pPr>
      <w:tabs>
        <w:tab w:val="clear" w:pos="540"/>
      </w:tabs>
    </w:pPr>
    <w:rPr>
      <w:sz w:val="20"/>
    </w:rPr>
  </w:style>
  <w:style w:type="paragraph" w:styleId="To">
    <w:name w:val="To"/>
    <w:basedOn w:val="Normal"/>
    <w:qFormat/>
    <w:pPr>
      <w:tabs>
        <w:tab w:val="clear" w:pos="540"/>
      </w:tabs>
    </w:pPr>
    <w:rPr>
      <w:sz w:val="20"/>
    </w:rPr>
  </w:style>
  <w:style w:type="paragraph" w:styleId="From">
    <w:name w:val="From"/>
    <w:basedOn w:val="Normal"/>
    <w:qFormat/>
    <w:pPr>
      <w:tabs>
        <w:tab w:val="clear" w:pos="540"/>
      </w:tabs>
    </w:pPr>
    <w:rPr>
      <w:sz w:val="20"/>
    </w:rPr>
  </w:style>
  <w:style w:type="paragraph" w:styleId="CopyList">
    <w:name w:val="CopyList"/>
    <w:basedOn w:val="Normal"/>
    <w:qFormat/>
    <w:pPr>
      <w:tabs>
        <w:tab w:val="clear" w:pos="540"/>
        <w:tab w:val="left" w:pos="504" w:leader="none"/>
      </w:tabs>
      <w:spacing w:before="360" w:after="0"/>
      <w:ind w:hanging="504" w:start="576" w:end="0"/>
    </w:pPr>
    <w:rPr>
      <w:rFonts w:ascii="Arial" w:hAnsi="Arial" w:cs="Arial"/>
      <w:sz w:val="20"/>
    </w:rPr>
  </w:style>
  <w:style w:type="paragraph" w:styleId="Body">
    <w:name w:val="Body"/>
    <w:basedOn w:val="Normal"/>
    <w:qFormat/>
    <w:pPr>
      <w:tabs>
        <w:tab w:val="clear" w:pos="540"/>
      </w:tabs>
      <w:ind w:hanging="0" w:start="72" w:end="0"/>
    </w:pPr>
    <w:rPr>
      <w:rFonts w:ascii="Arial" w:hAnsi="Arial" w:cs="Arial"/>
      <w:color w:val="000080"/>
      <w:sz w:val="20"/>
    </w:rPr>
  </w:style>
  <w:style w:type="paragraph" w:styleId="Department">
    <w:name w:val="Department"/>
    <w:basedOn w:val="Normal"/>
    <w:qFormat/>
    <w:pPr>
      <w:tabs>
        <w:tab w:val="clear" w:pos="540"/>
      </w:tabs>
    </w:pPr>
    <w:rPr>
      <w:sz w:val="20"/>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aRobH ECT Inter Office Memo</Template>
  <TotalTime>35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2001-06-15T14:11:00Z</dcterms:created>
  <dc:creator>rhemsto</dc:creator>
  <dc:description/>
  <dc:language>en-CA</dc:language>
  <cp:lastModifiedBy>lassaf</cp:lastModifiedBy>
  <cp:lastPrinted>2001-06-19T09:44:00Z</cp:lastPrinted>
  <dcterms:modified xsi:type="dcterms:W3CDTF">2001-06-19T11:14:00Z</dcterms:modified>
  <cp:revision>7</cp:revision>
  <dc:subject/>
  <dc:title>Eron Capital &amp; Trade Resources Memo</dc:title>
</cp:coreProperties>
</file>