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Overview of Flow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TCPL </w:t>
      </w:r>
    </w:p>
    <w:p>
      <w:pPr>
        <w:pStyle w:val="Normal"/>
        <w:rPr/>
      </w:pPr>
      <w:r>
        <w:rPr/>
        <w:tab/>
        <w:t>Receipt / delivery</w:t>
      </w:r>
    </w:p>
    <w:p>
      <w:pPr>
        <w:pStyle w:val="Normal"/>
        <w:rPr/>
      </w:pPr>
      <w:r>
        <w:rPr/>
        <w:tab/>
        <w:t>Cost of service</w:t>
      </w:r>
    </w:p>
    <w:p>
      <w:pPr>
        <w:pStyle w:val="Normal"/>
        <w:rPr/>
      </w:pPr>
      <w:r>
        <w:rPr/>
        <w:tab/>
        <w:t>Rights of FT</w:t>
      </w:r>
    </w:p>
    <w:p>
      <w:pPr>
        <w:pStyle w:val="Normal"/>
        <w:rPr/>
      </w:pPr>
      <w:r>
        <w:rPr/>
        <w:tab/>
        <w:t xml:space="preserve">STFT </w:t>
      </w:r>
    </w:p>
    <w:p>
      <w:pPr>
        <w:pStyle w:val="Normal"/>
        <w:rPr/>
      </w:pPr>
      <w:r>
        <w:rPr/>
        <w:tab/>
        <w:t>IT Auction</w:t>
      </w:r>
    </w:p>
    <w:p>
      <w:pPr>
        <w:pStyle w:val="Normal"/>
        <w:rPr/>
      </w:pPr>
      <w:r>
        <w:rPr/>
        <w:tab/>
        <w:t>Restrictions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TCPL Turnback</w:t>
      </w:r>
    </w:p>
    <w:p>
      <w:pPr>
        <w:pStyle w:val="Normal"/>
        <w:rPr/>
      </w:pPr>
      <w:r>
        <w:rPr/>
        <w:tab/>
        <w:t>Where, who, when, future</w:t>
      </w:r>
    </w:p>
    <w:p>
      <w:pPr>
        <w:pStyle w:val="Normal"/>
        <w:rPr/>
      </w:pPr>
      <w:r>
        <w:rPr/>
        <w:tab/>
        <w:t>New tariff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Union Pipeline</w:t>
      </w:r>
    </w:p>
    <w:p>
      <w:pPr>
        <w:pStyle w:val="Normal"/>
        <w:rPr/>
      </w:pPr>
      <w:r>
        <w:rPr/>
        <w:tab/>
        <w:t>Rates</w:t>
      </w:r>
    </w:p>
    <w:p>
      <w:pPr>
        <w:pStyle w:val="Normal"/>
        <w:rPr/>
      </w:pPr>
      <w:r>
        <w:rPr/>
        <w:tab/>
        <w:t>Services</w:t>
      </w:r>
    </w:p>
    <w:p>
      <w:pPr>
        <w:pStyle w:val="Normal"/>
        <w:rPr/>
      </w:pPr>
      <w:r>
        <w:rPr/>
        <w:tab/>
        <w:t>Franchise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Upstream Pipes</w:t>
      </w:r>
    </w:p>
    <w:p>
      <w:pPr>
        <w:pStyle w:val="Normal"/>
        <w:rPr/>
      </w:pPr>
      <w:r>
        <w:rPr/>
        <w:tab/>
        <w:t>Vector Pipeline</w:t>
      </w:r>
    </w:p>
    <w:p>
      <w:pPr>
        <w:pStyle w:val="Normal"/>
        <w:rPr/>
      </w:pPr>
      <w:r>
        <w:rPr/>
        <w:tab/>
        <w:t>Great lakes</w:t>
      </w:r>
    </w:p>
    <w:p>
      <w:pPr>
        <w:pStyle w:val="Normal"/>
        <w:rPr/>
      </w:pPr>
      <w:r>
        <w:rPr/>
        <w:tab/>
        <w:t>Panhandle</w:t>
      </w:r>
    </w:p>
    <w:p>
      <w:pPr>
        <w:pStyle w:val="Normal"/>
        <w:rPr/>
      </w:pPr>
      <w:r>
        <w:rPr/>
        <w:tab/>
        <w:t>MichConn</w:t>
      </w:r>
    </w:p>
    <w:p>
      <w:pPr>
        <w:pStyle w:val="Normal"/>
        <w:rPr/>
      </w:pPr>
      <w:r>
        <w:rPr/>
        <w:tab/>
        <w:t>Consumers Energy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Downstream Pipelines</w:t>
      </w:r>
    </w:p>
    <w:p>
      <w:pPr>
        <w:pStyle w:val="Normal"/>
        <w:rPr/>
      </w:pPr>
      <w:r>
        <w:rPr/>
        <w:tab/>
        <w:t>Tennessee</w:t>
      </w:r>
    </w:p>
    <w:p>
      <w:pPr>
        <w:pStyle w:val="Normal"/>
        <w:rPr/>
      </w:pPr>
      <w:r>
        <w:rPr/>
        <w:tab/>
        <w:t>National Fuel</w:t>
      </w:r>
    </w:p>
    <w:p>
      <w:pPr>
        <w:pStyle w:val="Normal"/>
        <w:rPr/>
      </w:pPr>
      <w:r>
        <w:rPr/>
        <w:tab/>
        <w:t>Empire</w:t>
      </w:r>
    </w:p>
    <w:p>
      <w:pPr>
        <w:pStyle w:val="Normal"/>
        <w:rPr/>
      </w:pPr>
      <w:r>
        <w:rPr/>
        <w:tab/>
        <w:t>Iroquios</w:t>
      </w:r>
    </w:p>
    <w:p>
      <w:pPr>
        <w:pStyle w:val="Normal"/>
        <w:rPr/>
      </w:pPr>
      <w:r>
        <w:rPr/>
        <w:tab/>
        <w:t>Portland Pipline</w:t>
      </w:r>
    </w:p>
    <w:p>
      <w:pPr>
        <w:pStyle w:val="Normal"/>
        <w:rPr/>
      </w:pPr>
      <w:r>
        <w:rPr/>
        <w:tab/>
        <w:t>Lttle Kids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Expansions</w:t>
      </w:r>
    </w:p>
    <w:p>
      <w:pPr>
        <w:pStyle w:val="Normal"/>
        <w:rPr/>
      </w:pPr>
      <w:r>
        <w:rPr/>
        <w:tab/>
        <w:t>TCPL &amp; National Fuel</w:t>
      </w:r>
    </w:p>
    <w:p>
      <w:pPr>
        <w:pStyle w:val="Normal"/>
        <w:ind w:firstLine="720" w:end="0"/>
        <w:rPr/>
      </w:pPr>
      <w:r>
        <w:rPr/>
        <w:t>Millineum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UNION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M12</w:t>
      </w:r>
    </w:p>
    <w:p>
      <w:pPr>
        <w:pStyle w:val="Normal"/>
        <w:rPr/>
      </w:pPr>
      <w:r>
        <w:rPr/>
      </w:r>
    </w:p>
    <w:p>
      <w:pPr>
        <w:pStyle w:val="bodytext1"/>
        <w:rPr/>
      </w:pPr>
      <w:r>
        <w:rPr/>
        <w:t>Storage service under this rate schedule is for storage in Union's storage facilities and must be combined with transportation service to transport the gas out of Union's franchise area.</w:t>
      </w:r>
    </w:p>
    <w:p>
      <w:pPr>
        <w:pStyle w:val="bodytext1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Web"/>
        <w:rPr>
          <w:b/>
          <w:bCs/>
          <w:sz w:val="24"/>
        </w:rPr>
      </w:pPr>
      <w:r>
        <w:rPr>
          <w:b/>
          <w:bCs/>
          <w:sz w:val="24"/>
        </w:rPr>
        <w:t>C12</w:t>
      </w:r>
    </w:p>
    <w:p>
      <w:pPr>
        <w:pStyle w:val="NormalWeb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bodytext1"/>
        <w:rPr/>
      </w:pPr>
      <w:r>
        <w:rPr/>
        <w:t>Storage Service under this rate schedule is:</w:t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71"/>
        <w:gridCol w:w="8169"/>
      </w:tblGrid>
      <w:tr>
        <w:trPr/>
        <w:tc>
          <w:tcPr>
            <w:tcW w:w="471" w:type="dxa"/>
            <w:tcBorders/>
          </w:tcPr>
          <w:p>
            <w:pPr>
              <w:pStyle w:val="bodytext1"/>
              <w:spacing w:before="100" w:after="100"/>
              <w:rPr/>
            </w:pPr>
            <w:r>
              <w:rPr/>
              <w:t>i)</w:t>
            </w:r>
          </w:p>
        </w:tc>
        <w:tc>
          <w:tcPr>
            <w:tcW w:w="8169" w:type="dxa"/>
            <w:tcBorders/>
            <w:vAlign w:val="center"/>
          </w:tcPr>
          <w:p>
            <w:pPr>
              <w:pStyle w:val="bodytext1"/>
              <w:spacing w:before="100" w:after="100"/>
              <w:rPr/>
            </w:pPr>
            <w:r>
              <w:rPr/>
              <w:t>a combined space and deliverability service for storage utilizing Union's facilities that must be combined with other services to effect gas to a point out of Union's franchise area, OR</w:t>
            </w:r>
          </w:p>
        </w:tc>
      </w:tr>
      <w:tr>
        <w:trPr/>
        <w:tc>
          <w:tcPr>
            <w:tcW w:w="471" w:type="dxa"/>
            <w:tcBorders/>
            <w:vAlign w:val="center"/>
          </w:tcPr>
          <w:p>
            <w:pPr>
              <w:pStyle w:val="bodytext1"/>
              <w:spacing w:before="100" w:after="100"/>
              <w:rPr/>
            </w:pPr>
            <w:r>
              <w:rPr/>
              <w:t>ii)</w:t>
            </w:r>
          </w:p>
        </w:tc>
        <w:tc>
          <w:tcPr>
            <w:tcW w:w="8169" w:type="dxa"/>
            <w:tcBorders/>
            <w:vAlign w:val="center"/>
          </w:tcPr>
          <w:p>
            <w:pPr>
              <w:pStyle w:val="bodytext1"/>
              <w:spacing w:before="100" w:after="100"/>
              <w:rPr/>
            </w:pPr>
            <w:r>
              <w:rPr/>
              <w:t>firm deliverability, OR</w:t>
            </w:r>
          </w:p>
        </w:tc>
      </w:tr>
      <w:tr>
        <w:trPr/>
        <w:tc>
          <w:tcPr>
            <w:tcW w:w="471" w:type="dxa"/>
            <w:tcBorders/>
            <w:vAlign w:val="center"/>
          </w:tcPr>
          <w:p>
            <w:pPr>
              <w:pStyle w:val="bodytext1"/>
              <w:spacing w:before="100" w:after="100"/>
              <w:rPr/>
            </w:pPr>
            <w:r>
              <w:rPr/>
              <w:t>iii)</w:t>
            </w:r>
          </w:p>
        </w:tc>
        <w:tc>
          <w:tcPr>
            <w:tcW w:w="8169" w:type="dxa"/>
            <w:tcBorders/>
            <w:vAlign w:val="center"/>
          </w:tcPr>
          <w:p>
            <w:pPr>
              <w:pStyle w:val="bodytext1"/>
              <w:spacing w:before="100" w:after="100"/>
              <w:rPr/>
            </w:pPr>
            <w:r>
              <w:rPr/>
              <w:t>a component of a balancing service offered at Union's pipeline inter-connects.</w:t>
            </w:r>
          </w:p>
        </w:tc>
      </w:tr>
    </w:tbl>
    <w:p>
      <w:pPr>
        <w:pStyle w:val="bodytext1"/>
        <w:rPr/>
      </w:pPr>
      <w:r>
        <w:rPr/>
        <w:t>Transportation Service under this rate schedule is transportation on Union’s’ pipeline facilities between any Delivery and Redelivery Point as specified in Section (A), column 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1">
    <w:name w:val="bodytext"/>
    <w:basedOn w:val="Normal"/>
    <w:qFormat/>
    <w:pPr>
      <w:spacing w:before="100" w:after="100"/>
    </w:pPr>
    <w:rPr>
      <w:rFonts w:ascii="Arial" w:hAnsi="Arial" w:eastAsia="Arial Unicode MS" w:cs="Arial"/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" w:hAnsi="Arial" w:eastAsia="Arial Unicode MS" w:cs="Arial"/>
      <w:color w:val="00000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2001-10-12T10:49:00Z</dcterms:created>
  <dc:creator>gstorey</dc:creator>
  <dc:description/>
  <dc:language>en-CA</dc:language>
  <cp:lastModifiedBy>gstorey</cp:lastModifiedBy>
  <cp:lastPrinted>2001-10-12T09:59:00Z</cp:lastPrinted>
  <dcterms:modified xsi:type="dcterms:W3CDTF">2001-10-12T13:28:00Z</dcterms:modified>
  <cp:revision>3</cp:revision>
  <dc:subject/>
  <dc:title>TCPL </dc:title>
</cp:coreProperties>
</file>