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drawing>
          <wp:inline distT="0" distB="0" distL="0" distR="0">
            <wp:extent cx="995680" cy="98996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95680" cy="989965"/>
                    </a:xfrm>
                    <a:prstGeom prst="rect">
                      <a:avLst/>
                    </a:prstGeom>
                    <a:noFill/>
                  </pic:spPr>
                </pic:pic>
              </a:graphicData>
            </a:graphic>
          </wp:inline>
        </w:drawing>
      </w:r>
    </w:p>
    <w:p>
      <w:pPr>
        <w:pStyle w:val="Heading"/>
        <w:rPr/>
      </w:pPr>
      <w:r>
        <w:rPr/>
      </w:r>
    </w:p>
    <w:tbl>
      <w:tblPr>
        <w:tblW w:w="8820" w:type="dxa"/>
        <w:jc w:val="start"/>
        <w:tblInd w:w="198" w:type="dxa"/>
        <w:tblLayout w:type="fixed"/>
        <w:tblCellMar>
          <w:top w:w="0" w:type="dxa"/>
          <w:start w:w="108" w:type="dxa"/>
          <w:bottom w:w="0" w:type="dxa"/>
          <w:end w:w="108" w:type="dxa"/>
        </w:tblCellMar>
      </w:tblPr>
      <w:tblGrid>
        <w:gridCol w:w="708"/>
        <w:gridCol w:w="3252"/>
        <w:gridCol w:w="317"/>
        <w:gridCol w:w="853"/>
        <w:gridCol w:w="180"/>
        <w:gridCol w:w="870"/>
        <w:gridCol w:w="236"/>
        <w:gridCol w:w="239"/>
        <w:gridCol w:w="202"/>
        <w:gridCol w:w="1963"/>
      </w:tblGrid>
      <w:tr>
        <w:trPr>
          <w:trHeight w:val="300" w:hRule="exact"/>
        </w:trPr>
        <w:tc>
          <w:tcPr>
            <w:tcW w:w="708" w:type="dxa"/>
            <w:tcBorders/>
          </w:tcPr>
          <w:p>
            <w:pPr>
              <w:pStyle w:val="Normal"/>
              <w:ind w:start="-180" w:end="0"/>
              <w:jc w:val="end"/>
              <w:rPr>
                <w:sz w:val="16"/>
              </w:rPr>
            </w:pPr>
            <w:bookmarkStart w:id="0" w:name="Doc_Header"/>
            <w:r>
              <w:rPr>
                <w:sz w:val="16"/>
              </w:rPr>
              <w:t>To:</w:t>
            </w:r>
            <w:bookmarkEnd w:id="0"/>
          </w:p>
        </w:tc>
        <w:tc>
          <w:tcPr>
            <w:tcW w:w="5472" w:type="dxa"/>
            <w:gridSpan w:val="5"/>
            <w:tcBorders/>
          </w:tcPr>
          <w:p>
            <w:pPr>
              <w:pStyle w:val="To"/>
              <w:rPr/>
            </w:pPr>
            <w:r>
              <w:rPr/>
              <w:t>John Lavorato</w:t>
            </w:r>
          </w:p>
          <w:p>
            <w:pPr>
              <w:pStyle w:val="To"/>
              <w:rPr/>
            </w:pPr>
            <w:r>
              <w:rPr/>
            </w:r>
          </w:p>
        </w:tc>
        <w:tc>
          <w:tcPr>
            <w:tcW w:w="677" w:type="dxa"/>
            <w:gridSpan w:val="3"/>
            <w:tcBorders/>
          </w:tcPr>
          <w:p>
            <w:pPr>
              <w:pStyle w:val="Normal"/>
              <w:snapToGrid w:val="false"/>
              <w:ind w:start="-180" w:end="0"/>
              <w:rPr/>
            </w:pPr>
            <w:r>
              <w:rPr/>
            </w:r>
          </w:p>
        </w:tc>
        <w:tc>
          <w:tcPr>
            <w:tcW w:w="1963" w:type="dxa"/>
            <w:tcBorders/>
          </w:tcPr>
          <w:p>
            <w:pPr>
              <w:pStyle w:val="Normal"/>
              <w:snapToGrid w:val="false"/>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3252" w:type="dxa"/>
            <w:tcBorders/>
          </w:tcPr>
          <w:p>
            <w:pPr>
              <w:pStyle w:val="Normal"/>
              <w:snapToGrid w:val="false"/>
              <w:ind w:end="-648"/>
              <w:rPr>
                <w:sz w:val="18"/>
              </w:rPr>
            </w:pPr>
            <w:r>
              <w:rPr>
                <w:sz w:val="18"/>
              </w:rPr>
            </w:r>
          </w:p>
        </w:tc>
        <w:tc>
          <w:tcPr>
            <w:tcW w:w="317" w:type="dxa"/>
            <w:tcBorders/>
          </w:tcPr>
          <w:p>
            <w:pPr>
              <w:pStyle w:val="Normal"/>
              <w:snapToGrid w:val="false"/>
              <w:ind w:start="-180" w:end="-648"/>
              <w:rPr>
                <w:sz w:val="18"/>
              </w:rPr>
            </w:pPr>
            <w:r>
              <w:rPr>
                <w:sz w:val="18"/>
              </w:rPr>
            </w:r>
          </w:p>
        </w:tc>
        <w:tc>
          <w:tcPr>
            <w:tcW w:w="4543" w:type="dxa"/>
            <w:gridSpan w:val="7"/>
            <w:tcBorders/>
          </w:tcPr>
          <w:p>
            <w:pPr>
              <w:pStyle w:val="Normal"/>
              <w:snapToGrid w:val="false"/>
              <w:ind w:end="-648"/>
              <w:rPr>
                <w:sz w:val="18"/>
              </w:rPr>
            </w:pPr>
            <w:r>
              <w:rPr>
                <w:sz w:val="18"/>
              </w:rPr>
            </w:r>
          </w:p>
        </w:tc>
      </w:tr>
      <w:tr>
        <w:trPr>
          <w:trHeight w:val="80" w:hRule="exact"/>
        </w:trPr>
        <w:tc>
          <w:tcPr>
            <w:tcW w:w="708" w:type="dxa"/>
            <w:tcBorders/>
          </w:tcPr>
          <w:p>
            <w:pPr>
              <w:pStyle w:val="Normal"/>
              <w:snapToGrid w:val="false"/>
              <w:ind w:start="-180" w:end="0"/>
              <w:jc w:val="end"/>
              <w:rPr>
                <w:sz w:val="16"/>
              </w:rPr>
            </w:pPr>
            <w:r>
              <w:rPr>
                <w:sz w:val="16"/>
              </w:rPr>
            </w:r>
          </w:p>
        </w:tc>
        <w:tc>
          <w:tcPr>
            <w:tcW w:w="4602" w:type="dxa"/>
            <w:gridSpan w:val="4"/>
            <w:tcBorders/>
          </w:tcPr>
          <w:p>
            <w:pPr>
              <w:pStyle w:val="From"/>
              <w:snapToGrid w:val="false"/>
              <w:ind w:end="702"/>
              <w:rPr>
                <w:sz w:val="16"/>
              </w:rPr>
            </w:pPr>
            <w:r>
              <w:rPr>
                <w:sz w:val="16"/>
              </w:rPr>
            </w:r>
          </w:p>
        </w:tc>
        <w:tc>
          <w:tcPr>
            <w:tcW w:w="1345" w:type="dxa"/>
            <w:gridSpan w:val="3"/>
            <w:tcBorders/>
          </w:tcPr>
          <w:p>
            <w:pPr>
              <w:pStyle w:val="Normal"/>
              <w:tabs>
                <w:tab w:val="clear" w:pos="540"/>
                <w:tab w:val="left" w:pos="1314" w:leader="none"/>
              </w:tabs>
              <w:snapToGrid w:val="false"/>
              <w:ind w:firstLine="1170" w:start="-1188" w:end="0"/>
              <w:jc w:val="end"/>
              <w:rPr>
                <w:sz w:val="16"/>
              </w:rPr>
            </w:pPr>
            <w:r>
              <w:rPr>
                <w:sz w:val="16"/>
              </w:rPr>
            </w:r>
          </w:p>
        </w:tc>
        <w:tc>
          <w:tcPr>
            <w:tcW w:w="2165" w:type="dxa"/>
            <w:gridSpan w:val="2"/>
            <w:tcBorders/>
          </w:tcPr>
          <w:p>
            <w:pPr>
              <w:pStyle w:val="Department"/>
              <w:snapToGrid w:val="false"/>
              <w:rPr>
                <w:sz w:val="16"/>
              </w:rPr>
            </w:pPr>
            <w:r>
              <w:rPr>
                <w:sz w:val="16"/>
              </w:rPr>
            </w:r>
          </w:p>
        </w:tc>
      </w:tr>
      <w:tr>
        <w:trPr>
          <w:trHeight w:val="300" w:hRule="exact"/>
        </w:trPr>
        <w:tc>
          <w:tcPr>
            <w:tcW w:w="708" w:type="dxa"/>
            <w:tcBorders/>
          </w:tcPr>
          <w:p>
            <w:pPr>
              <w:pStyle w:val="Normal"/>
              <w:ind w:start="-180" w:end="0"/>
              <w:jc w:val="end"/>
              <w:rPr>
                <w:sz w:val="16"/>
              </w:rPr>
            </w:pPr>
            <w:r>
              <w:rPr>
                <w:sz w:val="16"/>
              </w:rPr>
              <w:t>From:</w:t>
            </w:r>
          </w:p>
        </w:tc>
        <w:tc>
          <w:tcPr>
            <w:tcW w:w="4602" w:type="dxa"/>
            <w:gridSpan w:val="4"/>
            <w:tcBorders/>
          </w:tcPr>
          <w:p>
            <w:pPr>
              <w:pStyle w:val="From"/>
              <w:ind w:end="702"/>
              <w:rPr/>
            </w:pPr>
            <w:r>
              <w:rPr/>
              <w:t>Aleck Dadson, Rob Hemstock</w:t>
            </w:r>
          </w:p>
        </w:tc>
        <w:tc>
          <w:tcPr>
            <w:tcW w:w="1345" w:type="dxa"/>
            <w:gridSpan w:val="3"/>
            <w:tcBorders/>
          </w:tcPr>
          <w:p>
            <w:pPr>
              <w:pStyle w:val="Normal"/>
              <w:tabs>
                <w:tab w:val="clear" w:pos="540"/>
                <w:tab w:val="left" w:pos="1314" w:leader="none"/>
              </w:tabs>
              <w:ind w:firstLine="1170" w:start="-1188" w:end="0"/>
              <w:jc w:val="end"/>
              <w:rPr>
                <w:sz w:val="16"/>
              </w:rPr>
            </w:pPr>
            <w:r>
              <w:rPr>
                <w:sz w:val="16"/>
              </w:rPr>
              <w:t>Department:</w:t>
            </w:r>
          </w:p>
        </w:tc>
        <w:tc>
          <w:tcPr>
            <w:tcW w:w="2165" w:type="dxa"/>
            <w:gridSpan w:val="2"/>
            <w:tcBorders/>
          </w:tcPr>
          <w:p>
            <w:pPr>
              <w:pStyle w:val="Department"/>
              <w:rPr/>
            </w:pPr>
            <w:bookmarkStart w:id="1" w:name="From"/>
            <w:bookmarkEnd w:id="1"/>
            <w:r>
              <w:rPr/>
              <w:t>Government Affairs</w:t>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p>
            <w:pPr>
              <w:pStyle w:val="Department"/>
              <w:rPr/>
            </w:pPr>
            <w:r>
              <w:rPr/>
            </w:r>
          </w:p>
        </w:tc>
      </w:tr>
      <w:tr>
        <w:trPr>
          <w:trHeight w:val="216" w:hRule="exact"/>
        </w:trPr>
        <w:tc>
          <w:tcPr>
            <w:tcW w:w="708" w:type="dxa"/>
            <w:tcBorders/>
          </w:tcPr>
          <w:p>
            <w:pPr>
              <w:pStyle w:val="Normal"/>
              <w:snapToGrid w:val="false"/>
              <w:ind w:start="-180" w:end="0"/>
              <w:jc w:val="end"/>
              <w:rPr>
                <w:sz w:val="18"/>
              </w:rPr>
            </w:pPr>
            <w:r>
              <w:rPr>
                <w:sz w:val="18"/>
              </w:rPr>
            </w:r>
          </w:p>
        </w:tc>
        <w:tc>
          <w:tcPr>
            <w:tcW w:w="5472" w:type="dxa"/>
            <w:gridSpan w:val="5"/>
            <w:tcBorders/>
          </w:tcPr>
          <w:p>
            <w:pPr>
              <w:pStyle w:val="Normal"/>
              <w:snapToGrid w:val="false"/>
              <w:rPr>
                <w:sz w:val="18"/>
              </w:rPr>
            </w:pPr>
            <w:r>
              <w:rPr>
                <w:sz w:val="18"/>
              </w:rPr>
            </w:r>
          </w:p>
        </w:tc>
        <w:tc>
          <w:tcPr>
            <w:tcW w:w="677" w:type="dxa"/>
            <w:gridSpan w:val="3"/>
            <w:tcBorders/>
          </w:tcPr>
          <w:p>
            <w:pPr>
              <w:pStyle w:val="Normal"/>
              <w:snapToGrid w:val="false"/>
              <w:ind w:start="-180" w:end="0"/>
              <w:rPr>
                <w:sz w:val="18"/>
              </w:rPr>
            </w:pPr>
            <w:r>
              <w:rPr>
                <w:sz w:val="18"/>
              </w:rPr>
            </w:r>
          </w:p>
        </w:tc>
        <w:tc>
          <w:tcPr>
            <w:tcW w:w="1963" w:type="dxa"/>
            <w:tcBorders/>
          </w:tcPr>
          <w:p>
            <w:pPr>
              <w:pStyle w:val="Normal"/>
              <w:snapToGrid w:val="false"/>
              <w:rPr>
                <w:sz w:val="18"/>
              </w:rPr>
            </w:pPr>
            <w:r>
              <w:rPr>
                <w:sz w:val="18"/>
              </w:rPr>
            </w:r>
          </w:p>
        </w:tc>
      </w:tr>
      <w:tr>
        <w:trPr>
          <w:trHeight w:val="600" w:hRule="exact"/>
        </w:trPr>
        <w:tc>
          <w:tcPr>
            <w:tcW w:w="708" w:type="dxa"/>
            <w:tcBorders>
              <w:bottom w:val="single" w:sz="12" w:space="0" w:color="000000"/>
            </w:tcBorders>
          </w:tcPr>
          <w:p>
            <w:pPr>
              <w:pStyle w:val="Normal"/>
              <w:ind w:start="-108" w:end="0"/>
              <w:jc w:val="end"/>
              <w:rPr>
                <w:sz w:val="16"/>
              </w:rPr>
            </w:pPr>
            <w:r>
              <w:rPr>
                <w:sz w:val="16"/>
              </w:rPr>
              <w:t>Subject:</w:t>
            </w:r>
          </w:p>
        </w:tc>
        <w:tc>
          <w:tcPr>
            <w:tcW w:w="4422" w:type="dxa"/>
            <w:gridSpan w:val="3"/>
            <w:tcBorders>
              <w:bottom w:val="single" w:sz="12" w:space="0" w:color="000000"/>
            </w:tcBorders>
          </w:tcPr>
          <w:p>
            <w:pPr>
              <w:pStyle w:val="Subject"/>
              <w:rPr/>
            </w:pPr>
            <w:r>
              <w:rPr/>
              <w:t>Ontario and Alberta Electricity Market Status</w:t>
            </w:r>
          </w:p>
        </w:tc>
        <w:tc>
          <w:tcPr>
            <w:tcW w:w="1286" w:type="dxa"/>
            <w:gridSpan w:val="3"/>
            <w:tcBorders>
              <w:bottom w:val="single" w:sz="12" w:space="0" w:color="000000"/>
            </w:tcBorders>
          </w:tcPr>
          <w:p>
            <w:pPr>
              <w:pStyle w:val="Normal"/>
              <w:ind w:firstLine="432" w:start="-918" w:end="-172"/>
              <w:jc w:val="end"/>
              <w:rPr>
                <w:sz w:val="16"/>
              </w:rPr>
            </w:pPr>
            <w:r>
              <w:rPr>
                <w:sz w:val="16"/>
              </w:rPr>
              <w:t>Date:</w:t>
            </w:r>
          </w:p>
        </w:tc>
        <w:tc>
          <w:tcPr>
            <w:tcW w:w="2404" w:type="dxa"/>
            <w:gridSpan w:val="3"/>
            <w:tcBorders>
              <w:bottom w:val="single" w:sz="12" w:space="0" w:color="000000"/>
            </w:tcBorders>
          </w:tcPr>
          <w:p>
            <w:pPr>
              <w:pStyle w:val="Date"/>
              <w:ind w:firstLine="226" w:end="0"/>
              <w:rPr/>
            </w:pPr>
            <w:r>
              <w:rPr/>
              <w:fldChar w:fldCharType="begin"/>
            </w:r>
            <w:r>
              <w:rPr/>
              <w:instrText xml:space="preserve"> DATE \@"MMMM\ d', 'yyyy" </w:instrText>
            </w:r>
            <w:r>
              <w:rPr/>
              <w:fldChar w:fldCharType="separate"/>
            </w:r>
            <w:r>
              <w:rPr/>
              <w:t>September 28, 2025</w:t>
            </w:r>
            <w:r>
              <w:rPr/>
              <w:fldChar w:fldCharType="end"/>
            </w:r>
          </w:p>
        </w:tc>
      </w:tr>
    </w:tbl>
    <w:p>
      <w:pPr>
        <w:pStyle w:val="Body"/>
        <w:rPr>
          <w:rFonts w:eastAsia="Arial"/>
        </w:rPr>
      </w:pPr>
      <w:bookmarkStart w:id="2" w:name="StartOfMemo"/>
      <w:bookmarkEnd w:id="2"/>
      <w:r>
        <w:rPr>
          <w:rFonts w:eastAsia="Arial"/>
        </w:rPr>
        <w:t xml:space="preserve"> </w:t>
      </w:r>
    </w:p>
    <w:p>
      <w:pPr>
        <w:pStyle w:val="Body"/>
        <w:rPr/>
      </w:pPr>
      <w:r>
        <w:rPr/>
      </w:r>
    </w:p>
    <w:p>
      <w:pPr>
        <w:pStyle w:val="Body"/>
        <w:rPr/>
      </w:pPr>
      <w:r>
        <w:rPr/>
        <w:t>The only two Canadian provinces in which there is any significant move to deregulation/restructuring in power markets are Ontario and Alberta.</w:t>
      </w:r>
    </w:p>
    <w:p>
      <w:pPr>
        <w:pStyle w:val="Body"/>
        <w:rPr/>
      </w:pPr>
      <w:r>
        <w:rPr/>
      </w:r>
    </w:p>
    <w:p>
      <w:pPr>
        <w:pStyle w:val="Department"/>
        <w:rPr>
          <w:u w:val="single"/>
        </w:rPr>
      </w:pPr>
      <w:r>
        <w:rPr>
          <w:u w:val="single"/>
        </w:rPr>
        <w:t>Ontario</w:t>
      </w:r>
    </w:p>
    <w:p>
      <w:pPr>
        <w:pStyle w:val="Department"/>
        <w:rPr>
          <w:u w:val="single"/>
        </w:rPr>
      </w:pPr>
      <w:r>
        <w:rPr>
          <w:u w:val="single"/>
        </w:rPr>
      </w:r>
    </w:p>
    <w:p>
      <w:pPr>
        <w:pStyle w:val="Department"/>
        <w:numPr>
          <w:ilvl w:val="0"/>
          <w:numId w:val="2"/>
        </w:numPr>
        <w:rPr/>
      </w:pPr>
      <w:r>
        <w:rPr/>
        <w:t>Total installed generating capacity of approximately 30,000 MW with provincial peak demand of approximately 23,000 – 24,000 MW.</w:t>
      </w:r>
    </w:p>
    <w:p>
      <w:pPr>
        <w:pStyle w:val="Department"/>
        <w:numPr>
          <w:ilvl w:val="0"/>
          <w:numId w:val="2"/>
        </w:numPr>
        <w:rPr/>
      </w:pPr>
      <w:r>
        <w:rPr/>
        <w:t>Generation mix (not including 5000 megawatts of laid up nuclear capacity): 32% nuclear, 26% hydro, 28% coal, 9% gas, 5% oil.</w:t>
      </w:r>
    </w:p>
    <w:p>
      <w:pPr>
        <w:pStyle w:val="Department"/>
        <w:numPr>
          <w:ilvl w:val="0"/>
          <w:numId w:val="2"/>
        </w:numPr>
        <w:rPr/>
      </w:pPr>
      <w:r>
        <w:rPr/>
        <w:t>In November 1998 restructuring legislation was proclaimed in force.  This signaled the end of Ontario Hydro’s monopoly for generating and transmitting power to end-use customers and created five new companies out of Ontario Hydro, including the Independent Electricity Market Operator (IMO), Ontario Hydro Services Company (OHSC) and Ontario Power Generation Inc. (OPG)</w:t>
      </w:r>
    </w:p>
    <w:p>
      <w:pPr>
        <w:pStyle w:val="Department"/>
        <w:numPr>
          <w:ilvl w:val="0"/>
          <w:numId w:val="2"/>
        </w:numPr>
        <w:tabs>
          <w:tab w:val="left" w:pos="720" w:leader="none"/>
        </w:tabs>
        <w:ind w:hanging="360" w:start="720" w:end="0"/>
        <w:rPr/>
      </w:pPr>
      <w:r>
        <w:rPr/>
        <w:t xml:space="preserve">The IMO is responsible for overseeing the operation of the electricity market (power pool) and managing reliability.   </w:t>
      </w:r>
    </w:p>
    <w:p>
      <w:pPr>
        <w:pStyle w:val="Department"/>
        <w:numPr>
          <w:ilvl w:val="0"/>
          <w:numId w:val="2"/>
        </w:numPr>
        <w:tabs>
          <w:tab w:val="left" w:pos="720" w:leader="none"/>
        </w:tabs>
        <w:ind w:hanging="360" w:start="720" w:end="0"/>
        <w:rPr/>
      </w:pPr>
      <w:r>
        <w:rPr/>
        <w:t>OHSC owns and operates the transmission grid and also holds about 30% of Ontario’s distribut</w:t>
      </w:r>
    </w:p>
    <w:p>
      <w:pPr>
        <w:pStyle w:val="Department"/>
        <w:numPr>
          <w:ilvl w:val="0"/>
          <w:numId w:val="2"/>
        </w:numPr>
        <w:tabs>
          <w:tab w:val="left" w:pos="720" w:leader="none"/>
        </w:tabs>
        <w:ind w:hanging="360" w:start="720" w:end="0"/>
        <w:rPr/>
      </w:pPr>
      <w:r>
        <w:rPr/>
        <w:t>OPG now owns and operates Ontario Hydro’s generation assets representing approximately 90% of the available generation in the province. (OPG’s continuing market power remains a  very serious concern – the Government has proposed to reduce that percentage to 35% over a 10 year timeframe)</w:t>
      </w:r>
    </w:p>
    <w:p>
      <w:pPr>
        <w:pStyle w:val="Department"/>
        <w:numPr>
          <w:ilvl w:val="0"/>
          <w:numId w:val="4"/>
        </w:numPr>
        <w:rPr/>
      </w:pPr>
      <w:r>
        <w:rPr/>
        <w:t>The target date for opening the new wholesale and retail market is November 2000.</w:t>
      </w:r>
    </w:p>
    <w:p>
      <w:pPr>
        <w:pStyle w:val="Department"/>
        <w:numPr>
          <w:ilvl w:val="0"/>
          <w:numId w:val="2"/>
        </w:numPr>
        <w:rPr/>
      </w:pPr>
      <w:r>
        <w:rPr/>
        <w:t>The Ontario electricity market design is comparable to other pool-based markets in the U.S. such as: PJM, New York, and New England.</w:t>
      </w:r>
    </w:p>
    <w:p>
      <w:pPr>
        <w:pStyle w:val="Department"/>
        <w:numPr>
          <w:ilvl w:val="0"/>
          <w:numId w:val="2"/>
        </w:numPr>
        <w:rPr/>
      </w:pPr>
      <w:r>
        <w:rPr/>
        <w:t>Enron Canada has participated in the consultation and market design process in Ontario.</w:t>
      </w:r>
    </w:p>
    <w:p>
      <w:pPr>
        <w:pStyle w:val="Department"/>
        <w:numPr>
          <w:ilvl w:val="0"/>
          <w:numId w:val="2"/>
        </w:numPr>
        <w:tabs>
          <w:tab w:val="left" w:pos="720" w:leader="none"/>
        </w:tabs>
        <w:ind w:hanging="360" w:start="720" w:end="0"/>
        <w:rPr/>
      </w:pPr>
      <w:r>
        <w:rPr/>
        <w:t>John Gorman, Chairman of Enron Canada, is a member of the Board of the IMO.</w:t>
      </w:r>
    </w:p>
    <w:p>
      <w:pPr>
        <w:pStyle w:val="Department"/>
        <w:numPr>
          <w:ilvl w:val="0"/>
          <w:numId w:val="2"/>
        </w:numPr>
        <w:tabs>
          <w:tab w:val="left" w:pos="720" w:leader="none"/>
        </w:tabs>
        <w:ind w:hanging="360" w:start="720" w:end="0"/>
        <w:rPr/>
      </w:pPr>
      <w:r>
        <w:rPr/>
        <w:t>Aleck Dadson, U.S./Canada Government Affairs, was a member of the Market Design Committee which developed the initial set of market rules and is presently a member of the IMO Technical Panel.</w:t>
      </w:r>
    </w:p>
    <w:p>
      <w:pPr>
        <w:pStyle w:val="Department"/>
        <w:numPr>
          <w:ilvl w:val="0"/>
          <w:numId w:val="6"/>
        </w:numPr>
        <w:rPr/>
      </w:pPr>
      <w:r>
        <w:rPr/>
        <w:t>Enron Canada is presently pursuing two commercial ventures in Ontario.</w:t>
      </w:r>
    </w:p>
    <w:p>
      <w:pPr>
        <w:pStyle w:val="Department"/>
        <w:numPr>
          <w:ilvl w:val="0"/>
          <w:numId w:val="6"/>
        </w:numPr>
        <w:tabs>
          <w:tab w:val="left" w:pos="720" w:leader="none"/>
        </w:tabs>
        <w:ind w:hanging="360" w:start="720" w:end="0"/>
        <w:rPr/>
      </w:pPr>
      <w:r>
        <w:rPr/>
        <w:t xml:space="preserve">Enerconnect – Enerconnect is a limited partnership of approximately 200 municipal electric utilities.  Enron Canada has contracted with Enerconnect to provide its members with the settlement services they require to participate in the restructured market. </w:t>
      </w:r>
    </w:p>
    <w:p>
      <w:pPr>
        <w:pStyle w:val="Department"/>
        <w:numPr>
          <w:ilvl w:val="0"/>
          <w:numId w:val="6"/>
        </w:numPr>
        <w:tabs>
          <w:tab w:val="left" w:pos="720" w:leader="none"/>
        </w:tabs>
        <w:ind w:hanging="360" w:start="720" w:end="0"/>
        <w:rPr/>
      </w:pPr>
      <w:r>
        <w:rPr/>
        <w:t>Moore Power Project – Enron Canada  has proposed a 166 MW natural gas fired peaking plant near Sarnia, Ontario.</w:t>
      </w:r>
    </w:p>
    <w:p>
      <w:pPr>
        <w:pStyle w:val="Department"/>
        <w:rPr/>
      </w:pPr>
      <w:r>
        <w:rPr/>
      </w:r>
    </w:p>
    <w:p>
      <w:pPr>
        <w:pStyle w:val="Department"/>
        <w:rPr>
          <w:u w:val="single"/>
        </w:rPr>
      </w:pPr>
      <w:r>
        <w:rPr>
          <w:u w:val="single"/>
        </w:rPr>
        <w:t xml:space="preserve">Alberta </w:t>
      </w:r>
    </w:p>
    <w:p>
      <w:pPr>
        <w:pStyle w:val="Department"/>
        <w:rPr>
          <w:u w:val="single"/>
        </w:rPr>
      </w:pPr>
      <w:r>
        <w:rPr>
          <w:u w:val="single"/>
        </w:rPr>
      </w:r>
    </w:p>
    <w:p>
      <w:pPr>
        <w:pStyle w:val="Department"/>
        <w:numPr>
          <w:ilvl w:val="0"/>
          <w:numId w:val="3"/>
        </w:numPr>
        <w:rPr/>
      </w:pPr>
      <w:r>
        <w:rPr/>
        <w:t>Total installed generating capacity of 8,500 MW with provincial peak demand of approximately 7,000 MW</w:t>
      </w:r>
    </w:p>
    <w:p>
      <w:pPr>
        <w:pStyle w:val="Department"/>
        <w:numPr>
          <w:ilvl w:val="0"/>
          <w:numId w:val="3"/>
        </w:numPr>
        <w:rPr/>
      </w:pPr>
      <w:r>
        <w:rPr/>
        <w:t>Generation mix: 65% coal, 25% gas, 9% hydro, 1% other.</w:t>
      </w:r>
    </w:p>
    <w:p>
      <w:pPr>
        <w:pStyle w:val="Department"/>
        <w:numPr>
          <w:ilvl w:val="0"/>
          <w:numId w:val="3"/>
        </w:numPr>
        <w:rPr/>
      </w:pPr>
      <w:r>
        <w:rPr/>
        <w:t>April 1998 restructuring legislation proclaimed which amended the original restructuring legislation proclaimed in 1995.  This legislation signaled the end of the monopoly held by three vertically integrated utilities in Alberta.  Key elements of the legislation:</w:t>
      </w:r>
    </w:p>
    <w:p>
      <w:pPr>
        <w:pStyle w:val="Department"/>
        <w:numPr>
          <w:ilvl w:val="0"/>
          <w:numId w:val="3"/>
        </w:numPr>
        <w:tabs>
          <w:tab w:val="left" w:pos="1080" w:leader="none"/>
        </w:tabs>
        <w:ind w:hanging="360" w:start="1080" w:end="0"/>
        <w:rPr/>
      </w:pPr>
      <w:r>
        <w:rPr/>
        <w:t>Power Pool of Alberta - was created in 1995 when generation was deregulated.  It has been operating since January 1, 1996.  The Power Pool operates a voluntary open-access pool, performs the system control function, and has responsibility fo market surveillance.</w:t>
      </w:r>
    </w:p>
    <w:p>
      <w:pPr>
        <w:pStyle w:val="Department"/>
        <w:numPr>
          <w:ilvl w:val="0"/>
          <w:numId w:val="3"/>
        </w:numPr>
        <w:tabs>
          <w:tab w:val="left" w:pos="1080" w:leader="none"/>
        </w:tabs>
        <w:ind w:hanging="360" w:start="1080" w:end="0"/>
        <w:rPr/>
      </w:pPr>
      <w:r>
        <w:rPr/>
        <w:t>Independent Transmission Administrator – commenced operations in June 1998.  It is responsible for setting open access transmission tariffs which are regulated by the Alberta Energy Utilities Board.</w:t>
      </w:r>
    </w:p>
    <w:p>
      <w:pPr>
        <w:pStyle w:val="Department"/>
        <w:numPr>
          <w:ilvl w:val="0"/>
          <w:numId w:val="5"/>
        </w:numPr>
        <w:rPr>
          <w:u w:val="single"/>
        </w:rPr>
      </w:pPr>
      <w:r>
        <w:rPr/>
        <w:t xml:space="preserve">Under the Alberta restructuring legislation the incumbent generation owners are not required or incented to divest their regulated generation assets.  To mitigate market power and ensure most of the value of the net stranded benefits associated with the formerly regulated generation plants accrues to consumers, the regulated generation owners are required to make the capacity of their plants and the dispatch rights associated with this capacity (as defined in Power Purchase Arrangements developed by the government for each plant) available for sale in an auction to market participants.  The auction will occur in mid-2000.  Under the terms of each PPA, the winning bidder will be obligated to pay the generation owner its fixed and variable costs to operate the plant for the balance of its base life.  The PPA buyer will have the right to sell the output of the plant at market prices.  The duration of each PPA corresponds with the base life of the specific plant it is associated with.  Upon expiry of the PPA term, all rights associated with the plant will belong to the owner.  </w:t>
      </w:r>
    </w:p>
    <w:p>
      <w:pPr>
        <w:pStyle w:val="Department"/>
        <w:numPr>
          <w:ilvl w:val="0"/>
          <w:numId w:val="5"/>
        </w:numPr>
        <w:rPr>
          <w:u w:val="single"/>
        </w:rPr>
      </w:pPr>
      <w:r>
        <w:rPr/>
        <w:t xml:space="preserve">Commencing January 1, 2001 each PPA buyer will assume its rights and obligations under the PPA.  Also commencing January 1, 2001 all electricity customers in Alberta will be able to choose their electricity supplier. </w:t>
      </w:r>
    </w:p>
    <w:p>
      <w:pPr>
        <w:pStyle w:val="Department"/>
        <w:numPr>
          <w:ilvl w:val="0"/>
          <w:numId w:val="5"/>
        </w:numPr>
        <w:rPr>
          <w:u w:val="single"/>
        </w:rPr>
      </w:pPr>
      <w:r>
        <w:rPr/>
        <w:t xml:space="preserve">Enron Canada has participated in the consultation and market design process in Alberta.  Rob Hemstock, U.S./Canada Government Affairs, is a member of advisory committee’s established by both the Power Pool of Alberta and the Independent Transmission Administrator.  </w:t>
      </w:r>
    </w:p>
    <w:p>
      <w:pPr>
        <w:pStyle w:val="Department"/>
        <w:numPr>
          <w:ilvl w:val="0"/>
          <w:numId w:val="5"/>
        </w:numPr>
        <w:rPr>
          <w:u w:val="single"/>
        </w:rPr>
      </w:pPr>
      <w:r>
        <w:rPr/>
        <w:t>Enron Canada is presently considering two commercial opportunities in Alberta.</w:t>
      </w:r>
    </w:p>
    <w:p>
      <w:pPr>
        <w:pStyle w:val="Department"/>
        <w:numPr>
          <w:ilvl w:val="0"/>
          <w:numId w:val="5"/>
        </w:numPr>
        <w:tabs>
          <w:tab w:val="left" w:pos="720" w:leader="none"/>
        </w:tabs>
        <w:ind w:hanging="360" w:start="720" w:end="0"/>
        <w:rPr>
          <w:u w:val="single"/>
        </w:rPr>
      </w:pPr>
      <w:r>
        <w:rPr/>
        <w:t>PPA Buyer – Enron Canada is in the process of evaluating the unique PPA structure with a view to assessing whether it will participate in the capacity auction in mid-2000.</w:t>
      </w:r>
    </w:p>
    <w:p>
      <w:pPr>
        <w:pStyle w:val="Department"/>
        <w:numPr>
          <w:ilvl w:val="0"/>
          <w:numId w:val="5"/>
        </w:numPr>
        <w:tabs>
          <w:tab w:val="left" w:pos="720" w:leader="none"/>
        </w:tabs>
        <w:ind w:hanging="360" w:start="720" w:end="0"/>
        <w:rPr>
          <w:u w:val="single"/>
        </w:rPr>
      </w:pPr>
      <w:r>
        <w:rPr/>
        <w:t xml:space="preserve">Generation Development – Enron Canada has undertaken a preliminary assessment of two potential generation development opportunities and is presently evaluating these opportunites.  </w:t>
      </w:r>
    </w:p>
    <w:sectPr>
      <w:headerReference w:type="default" r:id="rId3"/>
      <w:headerReference w:type="first" r:id="rId4"/>
      <w:footerReference w:type="default" r:id="rId5"/>
      <w:footerReference w:type="first" r:id="rId6"/>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3780" w:leader="none"/>
        <w:tab w:val="center" w:pos="7560" w:leader="none"/>
        <w:tab w:val="right" w:pos="8640" w:leader="none"/>
      </w:tabs>
      <w:jc w:val="center"/>
      <w:rPr>
        <w:b/>
        <w:sz w:val="16"/>
      </w:rPr>
    </w:pPr>
    <w:r>
      <w:rPr>
        <w:b/>
        <w:sz w:val="16"/>
      </w:rPr>
      <w:t>Your Personal Best Makes Enron Best</w:t>
      <w:tab/>
      <w:t>Communicate- Facts Are Friendly</w:t>
      <w:tab/>
      <w:tab/>
      <w:t>Better, Faster, Simpler</w:t>
    </w:r>
  </w:p>
  <w:p>
    <w:pPr>
      <w:pStyle w:val="Footer"/>
      <w:tabs>
        <w:tab w:val="clear" w:pos="4320"/>
        <w:tab w:val="left" w:pos="3780" w:leader="none"/>
        <w:tab w:val="center" w:pos="7560" w:leader="none"/>
        <w:tab w:val="right" w:pos="8640" w:leader="none"/>
      </w:tabs>
      <w:rPr>
        <w:sz w:val="12"/>
      </w:rPr>
    </w:pPr>
    <w:r>
      <w:rPr>
        <w:sz w:val="12"/>
      </w:rPr>
      <w:t>Form 000-469-1 (5/92)</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left" w:pos="2430" w:leader="none"/>
        <w:tab w:val="left" w:pos="5310" w:leader="none"/>
        <w:tab w:val="right" w:pos="8640" w:leader="none"/>
        <w:tab w:val="right" w:pos="10800" w:leader="none"/>
      </w:tabs>
      <w:rPr>
        <w:sz w:val="16"/>
      </w:rPr>
    </w:pPr>
    <w:r>
      <w:rPr>
        <w:b/>
        <w:sz w:val="16"/>
      </w:rPr>
      <w:t>Respect</w:t>
      <w:tab/>
      <w:t>Integrity</w:t>
      <w:tab/>
      <w:t>Communication</w:t>
      <w:tab/>
      <w:t>Excellence</w:t>
    </w:r>
  </w:p>
  <w:p>
    <w:pPr>
      <w:pStyle w:val="Footer"/>
      <w:tabs>
        <w:tab w:val="clear" w:pos="4320"/>
        <w:tab w:val="left" w:pos="3780" w:leader="none"/>
        <w:tab w:val="center" w:pos="7560" w:leader="none"/>
        <w:tab w:val="right" w:pos="8640" w:leader="none"/>
        <w:tab w:val="right" w:pos="10800" w:leader="none"/>
      </w:tabs>
      <w:rPr>
        <w:sz w:val="12"/>
      </w:rPr>
    </w:pPr>
    <w:r>
      <w:rPr>
        <w:sz w:val="12"/>
      </w:rPr>
      <w:t>Form 000-469-1 (7/92)</w:t>
    </w:r>
  </w:p>
  <w:p>
    <w:pPr>
      <w:pStyle w:val="Footer"/>
      <w:tabs>
        <w:tab w:val="clear" w:pos="4320"/>
        <w:tab w:val="left" w:pos="3780" w:leader="none"/>
        <w:tab w:val="center" w:pos="7560" w:leader="none"/>
        <w:tab w:val="right" w:pos="8640" w:leader="none"/>
        <w:tab w:val="right" w:pos="10800" w:leader="none"/>
      </w:tabs>
      <w:rPr>
        <w:sz w:val="8"/>
      </w:rPr>
    </w:pPr>
    <w:r>
      <w:rPr>
        <w:sz w:val="8"/>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Fonts w:cs="Times New Roman" w:ascii="Times New Roman" w:hAnsi="Times New Roman"/>
      </w:rPr>
      <w:tab/>
      <w:tab/>
      <w:t xml:space="preserve">Page </w:t>
    </w:r>
    <w:r>
      <w:rPr>
        <w:rFonts w:cs="Times New Roman" w:ascii="Times New Roman" w:hAnsi="Times New Roman"/>
      </w:rPr>
      <w:fldChar w:fldCharType="begin"/>
    </w:r>
    <w:r>
      <w:rPr>
        <w:rFonts w:cs="Times New Roman" w:ascii="Times New Roman" w:hAnsi="Times New Roman"/>
      </w:rPr>
      <w:instrText xml:space="preserve"> PAGE </w:instrText>
    </w:r>
    <w:r>
      <w:rPr>
        <w:rFonts w:cs="Times New Roman" w:ascii="Times New Roman" w:hAnsi="Times New Roman"/>
      </w:rPr>
      <w:fldChar w:fldCharType="separate"/>
    </w:r>
    <w:r>
      <w:rPr>
        <w:rFonts w:cs="Times New Roman" w:ascii="Times New Roman" w:hAnsi="Times New Roman"/>
      </w:rPr>
      <w:t>2</w:t>
    </w:r>
    <w:r>
      <w:rPr>
        <w:rFonts w:cs="Times New Roman" w:ascii="Times New Roman" w:hAnsi="Times New Roman"/>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3">
              <wp:simplePos x="0" y="0"/>
              <wp:positionH relativeFrom="page">
                <wp:posOffset>2556510</wp:posOffset>
              </wp:positionH>
              <wp:positionV relativeFrom="paragraph">
                <wp:posOffset>-361315</wp:posOffset>
              </wp:positionV>
              <wp:extent cx="3877310" cy="702945"/>
              <wp:effectExtent l="0" t="0" r="0" b="0"/>
              <wp:wrapSquare wrapText="bothSides"/>
              <wp:docPr id="2" name="Frame1"/>
              <a:graphic xmlns:a="http://schemas.openxmlformats.org/drawingml/2006/main">
                <a:graphicData uri="http://schemas.microsoft.com/office/word/2010/wordprocessingShape">
                  <wps:wsp>
                    <wps:cNvSpPr txBox="1"/>
                    <wps:spPr>
                      <a:xfrm>
                        <a:off x="0" y="0"/>
                        <a:ext cx="3877310" cy="702945"/>
                      </a:xfrm>
                      <a:prstGeom prst="rect"/>
                      <a:solidFill>
                        <a:srgbClr val="FFFFFF">
                          <a:alpha val="0"/>
                        </a:srgbClr>
                      </a:solidFill>
                    </wps:spPr>
                    <wps:txbx>
                      <w:txbxContent>
                        <w:p>
                          <w:pPr>
                            <w:pStyle w:val="Normal"/>
                            <w:ind w:start="3600" w:end="0"/>
                            <w:rPr>
                              <w:b/>
                              <w:sz w:val="32"/>
                            </w:rPr>
                          </w:pPr>
                          <w:r>
                            <w:rPr>
                              <w:b/>
                              <w:sz w:val="32"/>
                            </w:rPr>
                          </w:r>
                        </w:p>
                        <w:p>
                          <w:pPr>
                            <w:pStyle w:val="Normal"/>
                            <w:ind w:start="360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05.3pt;height:55.35pt;mso-wrap-distance-left:9.35pt;mso-wrap-distance-right:9.35pt;mso-wrap-distance-top:0pt;mso-wrap-distance-bottom:0pt;margin-top:-28.45pt;mso-position-vertical-relative:text;margin-left:201.3pt;mso-position-horizontal-relative:page">
              <v:fill opacity="0f"/>
              <v:textbox inset="0in,0in,0in,0in">
                <w:txbxContent>
                  <w:p>
                    <w:pPr>
                      <w:pStyle w:val="Normal"/>
                      <w:ind w:start="3600" w:end="0"/>
                      <w:rPr>
                        <w:b/>
                        <w:sz w:val="32"/>
                      </w:rPr>
                    </w:pPr>
                    <w:r>
                      <w:rPr>
                        <w:b/>
                        <w:sz w:val="32"/>
                      </w:rPr>
                    </w:r>
                  </w:p>
                  <w:p>
                    <w:pPr>
                      <w:pStyle w:val="Normal"/>
                      <w:ind w:start="360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abstractNum w:abstractNumId="5">
    <w:lvl w:ilvl="0">
      <w:start w:val="1"/>
      <w:numFmt w:val="bullet"/>
      <w:lvlText w:val=""/>
      <w:lvlJc w:val="start"/>
      <w:pPr>
        <w:tabs>
          <w:tab w:val="num" w:pos="360"/>
        </w:tabs>
        <w:ind w:start="360" w:hanging="360"/>
      </w:pPr>
      <w:rPr>
        <w:rFonts w:ascii="Symbol" w:hAnsi="Symbol" w:cs="Symbol" w:hint="default"/>
      </w:rPr>
    </w:lvl>
  </w:abstractNum>
  <w:abstractNum w:abstractNumId="6">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b/>
      <w:kern w:val="2"/>
      <w:sz w:val="28"/>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tabs>
        <w:tab w:val="clear" w:pos="540"/>
      </w:tabs>
    </w:pPr>
    <w:rPr>
      <w:b/>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 w:val="right" w:pos="936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rFonts w:ascii="Arial" w:hAnsi="Arial" w:cs="Arial"/>
      <w:sz w:val="20"/>
    </w:rPr>
  </w:style>
  <w:style w:type="paragraph" w:styleId="Body">
    <w:name w:val="Body"/>
    <w:basedOn w:val="Normal"/>
    <w:qFormat/>
    <w:pPr>
      <w:tabs>
        <w:tab w:val="clear" w:pos="540"/>
      </w:tabs>
      <w:ind w:hanging="0" w:start="72" w:end="0"/>
    </w:pPr>
    <w:rPr>
      <w:rFonts w:ascii="Arial" w:hAnsi="Arial" w:cs="Arial"/>
      <w:color w:val="000080"/>
      <w:sz w:val="20"/>
    </w:rPr>
  </w:style>
  <w:style w:type="paragraph" w:styleId="Department">
    <w:name w:val="Department"/>
    <w:basedOn w:val="Normal"/>
    <w:qFormat/>
    <w:pPr>
      <w:tabs>
        <w:tab w:val="clear" w:pos="540"/>
      </w:tabs>
    </w:pPr>
    <w:rPr>
      <w:sz w:val="20"/>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aRobH ECT Inter Office Memo</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2000-01-28T17:35:00Z</dcterms:created>
  <dc:creator>rhemsto</dc:creator>
  <dc:description/>
  <dc:language>en-CA</dc:language>
  <cp:lastModifiedBy>adadson</cp:lastModifiedBy>
  <cp:lastPrinted>2000-01-28T12:33:00Z</cp:lastPrinted>
  <dcterms:modified xsi:type="dcterms:W3CDTF">2000-01-28T17:36:00Z</dcterms:modified>
  <cp:revision>3</cp:revision>
  <dc:subject/>
  <dc:title>Eron Capital &amp; Trade Resources Memo</dc:title>
</cp:coreProperties>
</file>