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none"/>
        </w:rPr>
      </w:pPr>
      <w:r>
        <w:rPr>
          <w:u w:val="none"/>
        </w:rPr>
        <w:t>ONLINE TRADING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North American Legal Issues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1"/>
        <w:ind w:hanging="0" w:start="0"/>
        <w:rPr/>
      </w:pPr>
      <w:r>
        <w:rPr/>
        <w:t>Fundamental Structure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Potential online counterparty manually executes a “Password Application”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First use of userid &amp; password requires clicking on Electronic Trading Agreement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Transactions governed by a master agreement if one has been signed; if no master agreement, General Terms and Conditions apply (system requires click agreement only once)</w:t>
      </w:r>
    </w:p>
    <w:p>
      <w:pPr>
        <w:pStyle w:val="BodyTextIndent2"/>
        <w:rPr/>
      </w:pPr>
      <w:r>
        <w:rPr/>
        <w:t>There has been extensive input from Legal (Houston, London, Sullivan &amp; Cromwell and Clifford Chance) into the web site design, wording and the documentation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Confirmation sent out just as if trade was done on telephone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Major Legal Issues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Enforceability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Validity of “click-transactions”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Statute of Frauds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Authorized users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Due diligence limitations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Commodity Exchange Act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Is the system a Mulitlateral Transaction Execution Facility?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Is the system a Board of Trade?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Choice of Law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New York for agreements governing system usage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Enforceable?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New York for derivatives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Texas (or relevant local law) for other commodities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Canada</w:t>
      </w:r>
    </w:p>
    <w:p>
      <w:pPr>
        <w:pStyle w:val="BodyTextIndent"/>
        <w:rPr/>
      </w:pPr>
      <w:r>
        <w:rPr/>
        <w:t>Canadian counsel (Stikeman) is concerned that standardization of contracts and pricing results in the transactions being futures/securities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Sullivan &amp; Cromwell helping to negotiate better memo from Stikeman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Enron Trading Entity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If a counterparty has a master agreement with one Enron entity and does a transaction which is offered online by another Enron entity, which should be the contracting entity?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144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1999-08-12T12:54:00Z</dcterms:created>
  <dc:creator>mtaylo1</dc:creator>
  <dc:description/>
  <dc:language>en-CA</dc:language>
  <cp:lastModifiedBy>mtaylo1</cp:lastModifiedBy>
  <cp:lastPrinted>1999-08-12T11:30:00Z</cp:lastPrinted>
  <dcterms:modified xsi:type="dcterms:W3CDTF">1999-08-12T21:06:00Z</dcterms:modified>
  <cp:revision>2</cp:revision>
  <dc:subject/>
  <dc:title>ONLINE TRADING</dc:title>
</cp:coreProperties>
</file>