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rFonts w:cs="Arial"/>
          <w:b/>
          <w:sz w:val="22"/>
        </w:rPr>
      </w:pPr>
      <w:r>
        <w:rPr>
          <w:rFonts w:cs="Arial"/>
          <w:b/>
          <w:sz w:val="22"/>
        </w:rPr>
        <w:t>[NETCO CANADA]</w:t>
      </w:r>
      <w:r>
        <mc:AlternateContent>
          <mc:Choice Requires="wps">
            <w:drawing>
              <wp:anchor behindDoc="0" distT="0" distB="0" distL="114935" distR="114935" simplePos="0" locked="0" layoutInCell="1" allowOverlap="1" relativeHeight="2">
                <wp:simplePos x="0" y="0"/>
                <wp:positionH relativeFrom="column">
                  <wp:posOffset>4390390</wp:posOffset>
                </wp:positionH>
                <wp:positionV relativeFrom="paragraph">
                  <wp:posOffset>-344805</wp:posOffset>
                </wp:positionV>
                <wp:extent cx="1609090" cy="351790"/>
                <wp:effectExtent l="0" t="0" r="0" b="0"/>
                <wp:wrapNone/>
                <wp:docPr id="1" name="Frame1"/>
                <a:graphic xmlns:a="http://schemas.openxmlformats.org/drawingml/2006/main">
                  <a:graphicData uri="http://schemas.microsoft.com/office/word/2010/wordprocessingShape">
                    <wps:wsp>
                      <wps:cNvSpPr txBox="1"/>
                      <wps:spPr>
                        <a:xfrm>
                          <a:off x="0" y="0"/>
                          <a:ext cx="1609090" cy="351790"/>
                        </a:xfrm>
                        <a:prstGeom prst="rect"/>
                        <a:solidFill>
                          <a:srgbClr val="FFFFFF"/>
                        </a:solidFill>
                        <a:ln w="9525">
                          <a:solidFill>
                            <a:srgbClr val="000000"/>
                          </a:solidFill>
                        </a:ln>
                      </wps:spPr>
                      <wps:txbx>
                        <w:txbxContent>
                          <w:p>
                            <w:pPr>
                              <w:pStyle w:val="Normal"/>
                              <w:spacing w:before="0" w:after="0"/>
                              <w:jc w:val="center"/>
                              <w:rPr>
                                <w:b/>
                                <w:bCs/>
                                <w:sz w:val="14"/>
                              </w:rPr>
                            </w:pPr>
                            <w:r>
                              <w:rPr>
                                <w:b/>
                                <w:bCs/>
                                <w:sz w:val="14"/>
                              </w:rPr>
                              <w:t>Canadian Online Financial GTC</w:t>
                            </w:r>
                          </w:p>
                          <w:p>
                            <w:pPr>
                              <w:pStyle w:val="Normal"/>
                              <w:jc w:val="center"/>
                              <w:rPr>
                                <w:b/>
                                <w:bCs/>
                                <w:sz w:val="14"/>
                              </w:rPr>
                            </w:pPr>
                            <w:r>
                              <w:rPr>
                                <w:b/>
                                <w:bCs/>
                                <w:sz w:val="14"/>
                              </w:rPr>
                              <w:t>Without Credit Support (01/21/02)</w:t>
                            </w:r>
                          </w:p>
                          <w:p>
                            <w:pPr>
                              <w:pStyle w:val="Normal"/>
                              <w:rPr>
                                <w:rFonts w:ascii="Arial Narrow" w:hAnsi="Arial Narrow" w:cs="Arial Narrow"/>
                                <w:b/>
                                <w:bCs/>
                                <w:sz w:val="14"/>
                              </w:rPr>
                            </w:pPr>
                            <w:r>
                              <w:rPr>
                                <w:rFonts w:cs="Arial Narrow" w:ascii="Arial Narrow" w:hAnsi="Arial Narrow"/>
                                <w:b/>
                                <w:bCs/>
                                <w:sz w:val="14"/>
                              </w:rPr>
                            </w:r>
                          </w:p>
                          <w:p>
                            <w:pPr>
                              <w:pStyle w:val="Normal"/>
                              <w:spacing w:before="0" w:after="240"/>
                              <w:rPr>
                                <w:rFonts w:ascii="Arial Narrow" w:hAnsi="Arial Narrow" w:cs="Arial Narrow"/>
                                <w:b/>
                                <w:bCs/>
                                <w:sz w:val="14"/>
                              </w:rPr>
                            </w:pPr>
                            <w:r>
                              <w:rPr>
                                <w:rFonts w:cs="Arial Narrow" w:ascii="Arial Narrow" w:hAnsi="Arial Narrow"/>
                                <w:b/>
                                <w:bCs/>
                                <w:sz w:val="14"/>
                              </w:rPr>
                            </w:r>
                          </w:p>
                        </w:txbxContent>
                      </wps:txbx>
                      <wps:bodyPr anchor="t" lIns="91440" tIns="45720" rIns="91440" bIns="45720">
                        <a:noAutofit/>
                      </wps:bodyPr>
                    </wps:wsp>
                  </a:graphicData>
                </a:graphic>
              </wp:anchor>
            </w:drawing>
          </mc:Choice>
          <mc:Fallback>
            <w:pict>
              <v:rect fillcolor="#FFFFFF" strokecolor="#000000" strokeweight="0pt" style="position:absolute;rotation:-0;width:126.7pt;height:27.7pt;mso-wrap-distance-left:9.05pt;mso-wrap-distance-right:9.05pt;mso-wrap-distance-top:0pt;mso-wrap-distance-bottom:0pt;margin-top:-27.15pt;mso-position-vertical-relative:text;margin-left:345.7pt;mso-position-horizontal-relative:text">
                <v:textbox>
                  <w:txbxContent>
                    <w:p>
                      <w:pPr>
                        <w:pStyle w:val="Normal"/>
                        <w:spacing w:before="0" w:after="0"/>
                        <w:jc w:val="center"/>
                        <w:rPr>
                          <w:b/>
                          <w:bCs/>
                          <w:sz w:val="14"/>
                        </w:rPr>
                      </w:pPr>
                      <w:r>
                        <w:rPr>
                          <w:b/>
                          <w:bCs/>
                          <w:sz w:val="14"/>
                        </w:rPr>
                        <w:t>Canadian Online Financial GTC</w:t>
                      </w:r>
                    </w:p>
                    <w:p>
                      <w:pPr>
                        <w:pStyle w:val="Normal"/>
                        <w:jc w:val="center"/>
                        <w:rPr>
                          <w:b/>
                          <w:bCs/>
                          <w:sz w:val="14"/>
                        </w:rPr>
                      </w:pPr>
                      <w:r>
                        <w:rPr>
                          <w:b/>
                          <w:bCs/>
                          <w:sz w:val="14"/>
                        </w:rPr>
                        <w:t>Without Credit Support (01/21/02)</w:t>
                      </w:r>
                    </w:p>
                    <w:p>
                      <w:pPr>
                        <w:pStyle w:val="Normal"/>
                        <w:rPr>
                          <w:rFonts w:ascii="Arial Narrow" w:hAnsi="Arial Narrow" w:cs="Arial Narrow"/>
                          <w:b/>
                          <w:bCs/>
                          <w:sz w:val="14"/>
                        </w:rPr>
                      </w:pPr>
                      <w:r>
                        <w:rPr>
                          <w:rFonts w:cs="Arial Narrow" w:ascii="Arial Narrow" w:hAnsi="Arial Narrow"/>
                          <w:b/>
                          <w:bCs/>
                          <w:sz w:val="14"/>
                        </w:rPr>
                      </w:r>
                    </w:p>
                    <w:p>
                      <w:pPr>
                        <w:pStyle w:val="Normal"/>
                        <w:spacing w:before="0" w:after="240"/>
                        <w:rPr>
                          <w:rFonts w:ascii="Arial Narrow" w:hAnsi="Arial Narrow" w:cs="Arial Narrow"/>
                          <w:b/>
                          <w:bCs/>
                          <w:sz w:val="14"/>
                        </w:rPr>
                      </w:pPr>
                      <w:r>
                        <w:rPr>
                          <w:rFonts w:cs="Arial Narrow" w:ascii="Arial Narrow" w:hAnsi="Arial Narrow"/>
                          <w:b/>
                          <w:bCs/>
                          <w:sz w:val="14"/>
                        </w:rPr>
                      </w:r>
                    </w:p>
                  </w:txbxContent>
                </v:textbox>
                <w10:wrap type="none"/>
              </v:rect>
            </w:pict>
          </mc:Fallback>
        </mc:AlternateContent>
      </w:r>
    </w:p>
    <w:p>
      <w:pPr>
        <w:pStyle w:val="Header"/>
        <w:jc w:val="center"/>
        <w:rPr>
          <w:rFonts w:cs="Arial"/>
          <w:b/>
          <w:sz w:val="22"/>
        </w:rPr>
      </w:pPr>
      <w:r>
        <w:rPr>
          <w:rFonts w:cs="Arial"/>
          <w:b/>
          <w:sz w:val="22"/>
        </w:rPr>
      </w:r>
    </w:p>
    <w:p>
      <w:pPr>
        <w:pStyle w:val="Header"/>
        <w:jc w:val="center"/>
        <w:rPr>
          <w:rFonts w:cs="Arial"/>
          <w:b/>
          <w:sz w:val="22"/>
        </w:rPr>
      </w:pPr>
      <w:r>
        <w:rPr>
          <w:rFonts w:cs="Arial"/>
          <w:b/>
          <w:sz w:val="22"/>
        </w:rPr>
        <w:t>GENERAL TERMS AND CONDITIONS (“GTC”)</w:t>
      </w:r>
    </w:p>
    <w:p>
      <w:pPr>
        <w:pStyle w:val="Header"/>
        <w:jc w:val="center"/>
        <w:rPr>
          <w:rFonts w:cs="Arial"/>
          <w:b/>
          <w:sz w:val="22"/>
        </w:rPr>
      </w:pPr>
      <w:r>
        <w:rPr>
          <w:rFonts w:cs="Arial"/>
          <w:b/>
          <w:sz w:val="22"/>
        </w:rPr>
        <w:t>FINANCIAL</w:t>
      </w:r>
    </w:p>
    <w:p>
      <w:pPr>
        <w:pStyle w:val="Normal"/>
        <w:tabs>
          <w:tab w:val="clear" w:pos="720"/>
          <w:tab w:val="left" w:pos="7680" w:leader="none"/>
        </w:tabs>
        <w:rPr>
          <w:rFonts w:cs="Arial"/>
          <w:b/>
          <w:sz w:val="22"/>
        </w:rPr>
      </w:pPr>
      <w:r>
        <w:rPr>
          <w:rFonts w:cs="Arial"/>
          <w:b/>
          <w:sz w:val="22"/>
        </w:rPr>
      </w:r>
    </w:p>
    <w:p>
      <w:pPr>
        <w:pStyle w:val="Sharon1"/>
        <w:numPr>
          <w:ilvl w:val="0"/>
          <w:numId w:val="3"/>
        </w:numPr>
        <w:rPr>
          <w:rFonts w:cs="Arial"/>
        </w:rPr>
      </w:pPr>
      <w:r>
        <w:rPr>
          <w:b/>
          <w:bCs/>
          <w:u w:val="single"/>
        </w:rPr>
        <w:t>Transactions</w:t>
      </w:r>
      <w:r>
        <w:rPr/>
        <w:t xml:space="preserve">.  </w:t>
      </w:r>
      <w:r>
        <w:rPr>
          <w:b/>
          <w:bCs/>
        </w:rPr>
        <w:t>[NETCO Canada]</w:t>
      </w:r>
      <w:r>
        <w:rPr/>
        <w:t xml:space="preserve"> ("</w:t>
      </w:r>
      <w:r>
        <w:rPr>
          <w:u w:val="single"/>
        </w:rPr>
        <w:t>Company</w:t>
      </w:r>
      <w:r>
        <w:rPr/>
        <w:t>") and counterparty from time to time may engage in Derivative Transactions pursuant to this GTC and the terms set forth in the internet-based electronic trading facility established by Company referencing this GTC (the "</w:t>
      </w:r>
      <w:r>
        <w:rPr>
          <w:u w:val="single"/>
        </w:rPr>
        <w:t>Website</w:t>
      </w:r>
      <w:r>
        <w:rPr/>
        <w:t>") submitted by counterparty and accepted by Company.  All such Transactions shall be formed on the Website in an electronic manner whereby an offer and acceptance shall constitute the agreement of the parties subject to this GTC and all applicable long definitions of the products selected by the parties on the Website.  All such Transactions shall be considered a single master agreement governed by this GTC until such time as the Transactions governed by this GTC are hereafter governed by a master agreement between the parties as may be therein set forth.  In the event of any inconsistency between the Transaction (as may be evidenced by a confirmation thereof, if any) and this GTC or any master agreement that may govern the Transaction as set forth in the preceding sentence, the terms of the Transaction shall govern.  Certain terms used in this GTC are defined below in the Section entitled "General Definitions".  Other capitalized terms used but not defined elsewhere by this GTC shall have the meanings designated in each Transaction.</w:t>
      </w:r>
    </w:p>
    <w:p>
      <w:pPr>
        <w:pStyle w:val="Sharon1"/>
        <w:numPr>
          <w:ilvl w:val="0"/>
          <w:numId w:val="3"/>
        </w:numPr>
        <w:rPr>
          <w:rFonts w:cs="Arial"/>
        </w:rPr>
      </w:pPr>
      <w:r>
        <w:rPr>
          <w:b/>
          <w:u w:val="single"/>
        </w:rPr>
        <w:t>Events of Default and Early Termination</w:t>
      </w:r>
      <w:r>
        <w:rPr>
          <w:bCs/>
        </w:rPr>
        <w:t xml:space="preserve">.  </w:t>
      </w:r>
      <w:r>
        <w:rPr/>
        <w:t>If an Event of Default (defined below) shall have occurred and shall be continuing the non-defaulting party may, in its sole discretion, by no more than 20 days notice to the Defaulting Party (defined below) designate a day no earlier than the day such notice is effective as an early termination date (the "</w:t>
      </w:r>
      <w:r>
        <w:rPr>
          <w:u w:val="single"/>
        </w:rPr>
        <w:t>Early Termination Date</w:t>
      </w:r>
      <w:r>
        <w:rPr/>
        <w:t>").  If a Bankruptcy Event of Default (defined below) shall have occurred and shall be continuing, the Defaulting Party may, in its sole discretion, by no more than 20 days notice to the non-defaulting party designate a day no earlier than the day such notice is effective as an Early Termination Date; provided, such notice shall be given no earlier than 30 Business Days after the occurrence of the Bankruptcy Event of Default; provided further, notwithstanding such right of the Defaulting Party to declare such Early Termination Date, the non-defaulting party shall have the right to make all other determinations in respect thereof in accordance herewith as if it had designated the Early Termination Date.  On the Early Termination Date the obligations under all Transactions with respect to all Determination Periods that would have ended on or after the Early Termination Date shall be terminated.  On, or as soon as reasonably practicable following, the occurrence of an Early Termination Date, the non-defaulting party shall in good faith calculate its Gains, Losses and Costs (each defined below) resulting from the termination of the parties' obligations under all Derivative Transactions with respect to all Payment Dates (defined in the Section entitled "Payments" below)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then remaining payments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all Derivative Transactions into a single net amount and notify the Defaulting Party of the net amount owed or owing (the "</w:t>
      </w:r>
      <w:r>
        <w:rPr>
          <w:u w:val="single"/>
        </w:rPr>
        <w:t>Termination Payment</w:t>
      </w:r>
      <w:r>
        <w:rPr/>
        <w:t>").  If the non-defaulting party's aggregate Losses and Costs exceed its aggregate Gains, the Defaulting Party shall, within five Business Days of receipt of such notice, pay the Termination Payment to the non-defaulting party, which Termination Payment shall accrue interest at the Interest Rate from the Early Termination Date until fully paid (including accumulated interest).  If the non-defaulting party's aggregate Gains exceed its Losses and Costs resulting from the Event of Default, subject to the rights of setoff set forth in the Section entitled "Set-off" below, the non</w:t>
        <w:noBreakHyphen/>
        <w:t>defaulting party shall pay the Termination Payment to the Defaulting Party within five Business Days of such determination.</w:t>
      </w:r>
      <w:r>
        <w:rPr>
          <w:rFonts w:cs="Arial"/>
        </w:rPr>
        <w:t xml:space="preserve"> </w:t>
      </w:r>
    </w:p>
    <w:p>
      <w:pPr>
        <w:pStyle w:val="Normal"/>
        <w:rPr/>
      </w:pPr>
      <w:r>
        <w:rPr/>
        <w:t>"</w:t>
      </w:r>
      <w:r>
        <w:rPr>
          <w:u w:val="single"/>
        </w:rPr>
        <w:t>Event of Default</w:t>
      </w:r>
      <w:r>
        <w:rPr/>
        <w:t>" means with respect to a party (the "</w:t>
      </w:r>
      <w:r>
        <w:rPr>
          <w:u w:val="single"/>
        </w:rPr>
        <w:t>Defaulting Party</w:t>
      </w:r>
      <w:r>
        <w:rPr/>
        <w:t>") any of the following:  (i) the failure by the Defaulting Party to make, when due, any payment required hereunder if such failure is not remedied within three days after notice of such failure is given to the Defaulting Party; (ii) any representation or warranty made by the Defaulting Party herein shall prove to be false or misleading in any material respect; (iii) the breach by the Defaulting Party of any other covenant or agreement set forth herein other than the covenant in item (i) above if such failure is not remedied within 10 Business Days after notice of such failure is given to the Defaulting Party; (iv)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 "</w:t>
      </w:r>
      <w:r>
        <w:rPr>
          <w:u w:val="single"/>
        </w:rPr>
        <w:t>Bankruptcy Event of Default</w:t>
      </w:r>
      <w:r>
        <w:rPr/>
        <w:t>"); (v) the Defaulting Party consolidates or amalgamates with, or merges into or with, or transfers substantially all of its assets to, another entity and (a) the resulting entity fails to assume all of the obligations of the Defaulting Party hereunder or (b) the resulting entity is materially less creditworthy than the Defaulting Party; (vii) the Defaulting Party shall disaffirm, disclaim, repudiate or reject, in whole or in part, or challenge the validity of, any Derivative Transaction; or (viii) an event of default occurs (howsoever determined) under any other Derivative Transaction between Company and counterparty.</w:t>
      </w:r>
    </w:p>
    <w:p>
      <w:pPr>
        <w:pStyle w:val="Normal"/>
        <w:rPr/>
      </w:pPr>
      <w:r>
        <w:rPr/>
        <w:t>"</w:t>
      </w:r>
      <w:r>
        <w:rPr>
          <w:u w:val="single"/>
        </w:rPr>
        <w:t>Gains</w:t>
      </w:r>
      <w:r>
        <w:rPr/>
        <w:t xml:space="preserve">" means, with respect to a party, an amount equal to the present value of the economic benefit (exclusive of Costs), if any, to it resulting from the termination of its obligations with respect to a </w:t>
      </w:r>
      <w:r>
        <w:rPr>
          <w:b/>
          <w:bCs/>
        </w:rPr>
        <w:t>[Derivative]</w:t>
      </w:r>
      <w:r>
        <w:rPr/>
        <w:t xml:space="preserve"> Transaction, determined in a commercially reasonable manner; and "</w:t>
      </w:r>
      <w:r>
        <w:rPr>
          <w:u w:val="single"/>
        </w:rPr>
        <w:t>Losses</w:t>
      </w:r>
      <w:r>
        <w:rPr/>
        <w:t xml:space="preserve">" means, with respect to a party, an amount equal to the present value of the economic loss (exclusive of Costs), if any, to it resulting from the termination of its obligations with respect to a </w:t>
      </w:r>
      <w:r>
        <w:rPr>
          <w:b/>
          <w:bCs/>
        </w:rPr>
        <w:t>[Derivative]</w:t>
      </w:r>
      <w:r>
        <w:rPr/>
        <w:t xml:space="preserve"> Transaction, including, without limitation, all amounts then otherwise payable hereunder, determined in a commercially reasonable manner; "</w:t>
      </w:r>
      <w:r>
        <w:rPr>
          <w:u w:val="single"/>
        </w:rPr>
        <w:t>Costs</w:t>
      </w:r>
      <w:r>
        <w:rPr/>
        <w:t xml:space="preserve">" means, with respect to a party, brokerage fees, commissions and other similar transaction costs and expenses reasonably incurred by such a party in entering into new arrangements which replace a </w:t>
      </w:r>
      <w:r>
        <w:rPr>
          <w:b/>
          <w:bCs/>
        </w:rPr>
        <w:t>[Derivative]</w:t>
      </w:r>
      <w:r>
        <w:rPr/>
        <w:t xml:space="preserve"> Transaction.  </w:t>
      </w:r>
    </w:p>
    <w:p>
      <w:pPr>
        <w:pStyle w:val="Sharon1"/>
        <w:numPr>
          <w:ilvl w:val="0"/>
          <w:numId w:val="3"/>
        </w:numPr>
        <w:rPr/>
      </w:pPr>
      <w:r>
        <w:rPr>
          <w:b/>
          <w:u w:val="single"/>
        </w:rPr>
        <w:t>Market Disruption</w:t>
      </w:r>
      <w:r>
        <w:rPr/>
        <w:t xml:space="preserve">.  If a Market Disruption Event has occurred and is continuing on any Trading Day, the Floating Price for such Trading Day shall be determined pursuant to the Floating Price Source specified in such Transaction for the first Trading Day thereafter on which no Market Disruption Event exists; </w:t>
      </w:r>
      <w:r>
        <w:rPr>
          <w:u w:val="single"/>
        </w:rPr>
        <w:t>provided</w:t>
      </w:r>
      <w:r>
        <w:rPr/>
        <w:t xml:space="preserve">, </w:t>
      </w:r>
      <w:r>
        <w:rPr>
          <w:u w:val="single"/>
        </w:rPr>
        <w:t>however</w:t>
      </w:r>
      <w:r>
        <w:rPr/>
        <w:t>, if the Floating Price is not so determined within three Business Days after the first Trading Day on which the Market Disruption Event occurred or existed, then the Floating Price shall be determined by reference to the Alternative Floating Price Source specified in such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Company, by taking the average of two or more dealer quotes.</w:t>
      </w:r>
    </w:p>
    <w:p>
      <w:pPr>
        <w:pStyle w:val="Sharon1"/>
        <w:numPr>
          <w:ilvl w:val="0"/>
          <w:numId w:val="3"/>
        </w:numPr>
        <w:rPr/>
      </w:pPr>
      <w:r>
        <w:rPr>
          <w:b/>
          <w:u w:val="single"/>
        </w:rPr>
        <w:t>Setoff</w:t>
      </w:r>
      <w:r>
        <w:rPr/>
        <w:t>.  Upon the designation of an Early Termination Date, the non-defaulting party ("</w:t>
      </w:r>
      <w:r>
        <w:rPr>
          <w:u w:val="single"/>
        </w:rPr>
        <w:t>X</w:t>
      </w:r>
      <w:r>
        <w:rPr/>
        <w:t>") may, at its option and in its discretion, setoff, against any amounts Owed (defined below) to the Defaulting Party ("</w:t>
      </w:r>
      <w:r>
        <w:rPr>
          <w:u w:val="single"/>
        </w:rPr>
        <w:t>Y</w:t>
      </w:r>
      <w:r>
        <w:rPr/>
        <w:t>") by X or any Affiliate of X under this GTC or under any other agreement(s), instrument(s) or undertaking(s), any amounts Owed by Y to X or any of X's Affiliates under this GTC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 and acknowledge that the rights set forth in this Section are an integral part of the GTC between the parties and that without such rights the parties would not be willing to enter into any Transactions.  The parties further acknowledge that each is executing this GTC on behalf of itself as principal and, with respect to this Section, as agent on behalf of its Affiliates, which Affiliates shall receive the benefits of this Section and otherwise be bound as if such Affiliates had entered into this GTC as its relates to the Section entitled "Payments" below.  Notwithstanding any provision to the contrary contained in this GTC, the non-defaulting party shall not be required to pay to the Defaulting Party any amount under the Section entitled "Payments" below until the non-defaulting party receives confirmation satisfactory to it in its reasonable discretion (which may include an opinion of its counsel) that all other obligations of any kind whatsoever of Defaulting Party to make any payments to the non-defaulting party or any of its Affiliates under this GTC or any other agreement(s), instrument(s) or undertaking(s), which are Owed as of the Early Termination Date have been fully and finally satisfied.</w:t>
      </w:r>
    </w:p>
    <w:p>
      <w:pPr>
        <w:pStyle w:val="Normal"/>
        <w:rPr/>
      </w:pPr>
      <w:r>
        <w:rPr/>
        <w:t>“</w:t>
      </w:r>
      <w:r>
        <w:rPr>
          <w:u w:val="single"/>
        </w:rPr>
        <w:t>Owed</w:t>
      </w:r>
      <w:r>
        <w:rPr/>
        <w:t>” means any amounts owed or otherwise accrued and payable (regardless of whether such amounts have been or could be invoiced) as of the Early Termination Date.</w:t>
      </w:r>
    </w:p>
    <w:p>
      <w:pPr>
        <w:pStyle w:val="Sharon1"/>
        <w:numPr>
          <w:ilvl w:val="0"/>
          <w:numId w:val="3"/>
        </w:numPr>
        <w:rPr/>
      </w:pPr>
      <w:r>
        <w:rPr>
          <w:b/>
          <w:u w:val="single"/>
        </w:rPr>
        <w:t>Payments</w:t>
      </w:r>
      <w:r>
        <w:rPr/>
        <w:t xml:space="preserve">.  For each Determination Period, on the applicable Payment Date with respect to (i) a </w:t>
      </w:r>
      <w:r>
        <w:rPr>
          <w:u w:val="single"/>
        </w:rPr>
        <w:t>SWAP</w:t>
      </w:r>
      <w:r>
        <w:rPr/>
        <w:t xml:space="preserve">, (a) if the Floating Amount is greater than the Fixed Amount for the relevant Determination Period, the Floating Price Payor shall pay the Fixed Price Payor the amount by which the Floating Amount exceeds the Fixed Amount, and (b) if the Floating Amount is less than the Fixed Amount, the Fixed Price Payor shall pay the Floating Price Payor the amount by which the Fixed Amount exceeds the Floating Amount; (ii) an </w:t>
      </w:r>
      <w:r>
        <w:rPr>
          <w:u w:val="single"/>
        </w:rPr>
        <w:t>OPTION</w:t>
      </w:r>
      <w:r>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(iii) a </w:t>
      </w:r>
      <w:r>
        <w:rPr>
          <w:caps/>
          <w:u w:val="single"/>
        </w:rPr>
        <w:t>Collar</w:t>
      </w:r>
      <w:r>
        <w:rPr/>
        <w:t xml:space="preserve">, (a) if the Floating Amount is greater than the Cap Amount, the Floating Price Payor will pay to the Fixed Price Payor the amount by which the Floating Amount exceeds the Cap Amount, and (b) if the Floating Amount is less than the Floor Amount, the Fixed Price Payor shall pay to the Floating Price Payor the amount by which the Floating Amount is less than the Floor Amount; (iv) a </w:t>
      </w:r>
      <w:r>
        <w:rPr>
          <w:caps/>
          <w:u w:val="single"/>
        </w:rPr>
        <w:t>Swaption</w:t>
      </w:r>
      <w:r>
        <w:rPr/>
        <w:t xml:space="preserve"> that has been properly exercised by the Buyer, all payments payable under the Underlying Transaction shall be made by the relevant party in the manner specified for a Swap in this Section (Buyer shall exercise such Swaption in accordance with the Option procedures); and (v) the </w:t>
      </w:r>
      <w:r>
        <w:rPr>
          <w:u w:val="single"/>
        </w:rPr>
        <w:t xml:space="preserve">TOTAL </w:t>
      </w:r>
      <w:r>
        <w:rPr>
          <w:caps/>
          <w:u w:val="single"/>
        </w:rPr>
        <w:t>Premium</w:t>
      </w:r>
      <w:r>
        <w:rPr/>
        <w:t xml:space="preserve"> (if any) for an Option, Collar or Swaption, the Total Premium is due and payable by the Buyer or Premium Payor (as the case may be) to the other party on the Premium Payment Date(s).</w:t>
      </w:r>
    </w:p>
    <w:p>
      <w:pPr>
        <w:pStyle w:val="Normal"/>
        <w:rPr/>
      </w:pPr>
      <w:r>
        <w:rPr/>
        <w:t xml:space="preserve">For the purposes of the calculations of the Floating Price(s), all numbers shall be rounded as follows:  Floating Price(s) relating to commodities quoted in </w:t>
      </w:r>
      <w:r>
        <w:rPr>
          <w:b/>
          <w:bCs/>
        </w:rPr>
        <w:t>[(i) gallons, shall be rounded to five places,]</w:t>
      </w:r>
      <w:r>
        <w:rPr/>
        <w:t xml:space="preserve"> (ii) Mmbtu’s </w:t>
      </w:r>
      <w:r>
        <w:rPr>
          <w:b/>
          <w:bCs/>
        </w:rPr>
        <w:t>[or GJ's]</w:t>
      </w:r>
      <w:r>
        <w:rPr/>
        <w:t xml:space="preserve"> shall be rounded to four places, and </w:t>
      </w:r>
      <w:r>
        <w:rPr>
          <w:b/>
          <w:bCs/>
        </w:rPr>
        <w:t>[(iii) barrels and megawatt hours shall be rounded to three places]</w:t>
      </w:r>
      <w:r>
        <w:rPr/>
        <w:t>.</w:t>
      </w:r>
    </w:p>
    <w:p>
      <w:pPr>
        <w:pStyle w:val="Normal"/>
        <w:rPr/>
      </w:pPr>
      <w:r>
        <w:rPr/>
        <w:t xml:space="preserve">Each payment will be made in the Contractual Currency (specified in the Transaction or if not specified, in </w:t>
      </w:r>
      <w:r>
        <w:rPr>
          <w:b/>
          <w:bCs/>
        </w:rPr>
        <w:t>[U.S.]</w:t>
      </w:r>
      <w:r>
        <w:rPr/>
        <w:t xml:space="preserve"> Dollars) via wire transfer in immediately available funds on the relevant Payment Date (or if not a Business Day, on the next Business Day).  If amounts are not paid when due, they shall bear interest daily until paid in full (including accumulated interest)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parties shall discharge their payment obligations through netting, with the party owing the greater aggregate amount shall pay to the other party the difference between the amounts owed.</w:t>
      </w:r>
    </w:p>
    <w:p>
      <w:pPr>
        <w:pStyle w:val="Normal"/>
        <w:rPr/>
      </w:pPr>
      <w:r>
        <w:rPr/>
        <w:t>All payments under any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(i) promptly notify the other party ("Y") of such requirement, (ii)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(iii)</w:t>
      </w:r>
      <w:r>
        <w:rPr>
          <w:iCs/>
        </w:rPr>
        <w:t> </w:t>
      </w:r>
      <w:r>
        <w:rPr/>
        <w:t>promptly forward to Y an official receipt (or a certified copy), or other documentation reasonably acceptable to Y, evidencing such payment to such authorities, and (iv)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the failure of Y, upon reasonable demand by X, to provide any form, certificate or document that would allow X to make a payment to Y under this Transaction at a reduced rate of, or without any, withholding for or on account of any Tax.</w:t>
      </w:r>
    </w:p>
    <w:p>
      <w:pPr>
        <w:pStyle w:val="Sharon1"/>
        <w:numPr>
          <w:ilvl w:val="0"/>
          <w:numId w:val="3"/>
        </w:numPr>
        <w:rPr/>
      </w:pPr>
      <w:r>
        <w:rPr>
          <w:b/>
          <w:bCs/>
          <w:u w:val="single"/>
        </w:rPr>
        <w:t>Confidentiality</w:t>
      </w:r>
      <w:r>
        <w:rPr/>
        <w:t>.  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provided the other party is first given written notice of such requirement with a reasonable opportunity to object to such disclosure in the circumstances, (iii) as may be obtained from a non-confidential source that disclosed such information in a manner that did not, to the knowledge of the disclosing party, violate its obligations to the non-disclosing party, if any, in making such disclosure, or (iv) as may be furnished to the disclosing party's Affiliates, and to each of such person's auditors, attorneys, advisors or lenders which are required to keep the information that is disclosed in confidence.</w:t>
      </w:r>
    </w:p>
    <w:p>
      <w:pPr>
        <w:pStyle w:val="Sharon1"/>
        <w:numPr>
          <w:ilvl w:val="0"/>
          <w:numId w:val="3"/>
        </w:numPr>
        <w:rPr/>
      </w:pPr>
      <w:r>
        <w:rPr>
          <w:b/>
          <w:u w:val="single"/>
        </w:rPr>
        <w:t>Damages</w:t>
      </w:r>
      <w:r>
        <w:rPr>
          <w:bCs/>
        </w:rPr>
        <w:t>.  Whenever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and such direct actual damages shall be the sole and exclusive remedy and all other remedies or damages at law or in equity are waived.  Neither party shall in any event be liable for any consequential, incidental, punitive, exemplary or indirect damages, lost profits or other business interruption damages, in tort, contract, under any indemnity provision or otherwise.</w:t>
      </w:r>
    </w:p>
    <w:p>
      <w:pPr>
        <w:pStyle w:val="Sharon1"/>
        <w:numPr>
          <w:ilvl w:val="0"/>
          <w:numId w:val="3"/>
        </w:numPr>
        <w:rPr/>
      </w:pPr>
      <w:r>
        <w:rPr>
          <w:b/>
          <w:u w:val="single"/>
        </w:rPr>
        <w:t>Governing Law.</w:t>
      </w:r>
      <w:r>
        <w:rPr/>
        <w:t xml:space="preserve">  Each and every Transaction and the rights and duties of the parties in respect thereof shall be governed by the laws of the Province of Alberta, and each party hereby submits to the non-exclusive jurisdiction of the courts of the Province of Alberta.</w:t>
      </w:r>
    </w:p>
    <w:p>
      <w:pPr>
        <w:pStyle w:val="Sharon1"/>
        <w:keepNext w:val="true"/>
        <w:widowControl w:val="false"/>
        <w:numPr>
          <w:ilvl w:val="0"/>
          <w:numId w:val="3"/>
        </w:numPr>
        <w:rPr/>
      </w:pPr>
      <w:r>
        <w:rPr>
          <w:b/>
          <w:bCs/>
          <w:color w:val="000000"/>
          <w:szCs w:val="20"/>
          <w:u w:val="single"/>
        </w:rPr>
        <w:t>Representations and Other Matters</w:t>
      </w:r>
      <w:r>
        <w:rPr>
          <w:color w:val="000000"/>
          <w:szCs w:val="20"/>
        </w:rPr>
        <w:t>.</w:t>
      </w:r>
    </w:p>
    <w:p>
      <w:pPr>
        <w:pStyle w:val="Sharon2"/>
        <w:keepNext w:val="true"/>
        <w:widowControl w:val="false"/>
        <w:numPr>
          <w:ilvl w:val="0"/>
          <w:numId w:val="2"/>
        </w:numPr>
        <w:ind w:hanging="0" w:start="0"/>
        <w:rPr/>
      </w:pPr>
      <w:r>
        <w:rPr/>
        <w:t>Each of the parties represents and warrants that:</w:t>
      </w:r>
    </w:p>
    <w:p>
      <w:pPr>
        <w:pStyle w:val="Sharon3"/>
        <w:numPr>
          <w:ilvl w:val="0"/>
          <w:numId w:val="1"/>
        </w:numPr>
        <w:ind w:hanging="0" w:start="0"/>
        <w:rPr/>
      </w:pPr>
      <w:r>
        <w:rPr>
          <w:u w:val="single"/>
        </w:rPr>
        <w:t>Authority/Taxation</w:t>
      </w:r>
      <w:r>
        <w:rPr/>
        <w:t xml:space="preserve">: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constitutes its legally valid and binding obligation enforceable against it in accordance with its terms;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of this GTC or any Transaction, or the ability to perform the obligations thereunder; and it is a resident of Canada for purposes of the </w:t>
      </w:r>
      <w:r>
        <w:rPr>
          <w:i/>
          <w:iCs/>
        </w:rPr>
        <w:t>Income Tax Act</w:t>
      </w:r>
      <w:r>
        <w:rPr/>
        <w:t xml:space="preserve"> (Canada).</w:t>
      </w:r>
    </w:p>
    <w:p>
      <w:pPr>
        <w:pStyle w:val="Sharon3"/>
        <w:numPr>
          <w:ilvl w:val="0"/>
          <w:numId w:val="1"/>
        </w:numPr>
        <w:ind w:hanging="0" w:start="0"/>
        <w:rPr>
          <w:b/>
          <w:bCs/>
        </w:rPr>
      </w:pPr>
      <w:r>
        <w:rPr>
          <w:b/>
          <w:bCs/>
          <w:u w:val="single"/>
        </w:rPr>
        <w:t>[Line of Business</w:t>
      </w:r>
      <w:r>
        <w:rPr>
          <w:b/>
          <w:bCs/>
        </w:rPr>
        <w:t>:  It is entering into this Transaction in conjunction with its line of business (including financial intermediation services) or the financing of its business.]</w:t>
      </w:r>
    </w:p>
    <w:p>
      <w:pPr>
        <w:pStyle w:val="Sharon3"/>
        <w:numPr>
          <w:ilvl w:val="0"/>
          <w:numId w:val="1"/>
        </w:numPr>
        <w:ind w:hanging="0" w:start="0"/>
        <w:rPr/>
      </w:pPr>
      <w:r>
        <w:rPr>
          <w:u w:val="single"/>
        </w:rPr>
        <w:t>No Reliance</w:t>
      </w:r>
      <w:r>
        <w:rPr/>
        <w:t>:  (1) The other party to any Transaction (A) is not acting as a fiduciary or financial, investment or commodity trading advisor for it, and (B) has not given to it (directly or indirectly through any other person) any assurance, guaranty or representation whatsoever as to the merits (legal, regulatory, tax, financial, accounting or otherwise) of any Transaction or the expected performance or result of any Transaction.  (2) In connection with the negotiation and execution of any Transaction, (A) it is acting as a principal (and not as an agent or in any other capacity, fiduciary or otherwise), (B) it is not relying upon any advice, counsel or representations (whether written or oral) of the other party other than the representations expressly set forth herein, (C) it has made and will make its own decisions regarding the entering into of any Transaction based upon its own judgment and upon the advice from such professional advisors as it deemed, or will deem, necessary to consult, (D) all of its decisions regarding any Transaction have been the result of arm’s length negotiations between the parties, and (E) it has a full understanding of all the terms, conditions and risks (economic and otherwise) of each Transaction, and it is capable of assuming and willing to assume (financially and otherwise) those risks.</w:t>
      </w:r>
    </w:p>
    <w:p>
      <w:pPr>
        <w:pStyle w:val="Sharon2"/>
        <w:numPr>
          <w:ilvl w:val="0"/>
          <w:numId w:val="2"/>
        </w:numPr>
        <w:ind w:hanging="0" w:start="0"/>
        <w:rPr/>
      </w:pPr>
      <w:r>
        <w:rPr/>
        <w:t>This GTC and each Transaction shall be binding upon and inure to the benefit of the parties and their respective successors and permitted assigns.</w:t>
      </w:r>
    </w:p>
    <w:p>
      <w:pPr>
        <w:pStyle w:val="Sharon2"/>
        <w:numPr>
          <w:ilvl w:val="0"/>
          <w:numId w:val="2"/>
        </w:numPr>
        <w:ind w:hanging="0" w:start="0"/>
        <w:rPr/>
      </w:pPr>
      <w:r>
        <w:rPr/>
        <w:t>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whose creditworthiness is not materially weaker than that of such party, if (a) the same does not result in any adverse tax consequences to the non-assigning party with respect to any Transaction, (b) the assignment is made with prior notice to the non-assigning party, (c) the Affiliate assignee agrees in writing to be bound by the terms and conditions thereof, and (d) such assignment shall not relieve the assigning party any of its obligations thereunder.  Any purported assignment in violation of this provision shall be void and of no force and effect.</w:t>
      </w:r>
    </w:p>
    <w:p>
      <w:pPr>
        <w:pStyle w:val="Sharon2"/>
        <w:numPr>
          <w:ilvl w:val="0"/>
          <w:numId w:val="2"/>
        </w:numPr>
        <w:ind w:hanging="0" w:start="0"/>
        <w:rPr/>
      </w:pPr>
      <w:r>
        <w:rPr/>
        <w:t>This GTC and each Transaction contain the entire agreement between the parties and supersede all prior oral or written communications or agreements relating to the subject matter.</w:t>
      </w:r>
    </w:p>
    <w:p>
      <w:pPr>
        <w:pStyle w:val="Sharon2"/>
        <w:numPr>
          <w:ilvl w:val="0"/>
          <w:numId w:val="2"/>
        </w:numPr>
        <w:ind w:hanging="0" w:start="0"/>
        <w:rPr/>
      </w:pPr>
      <w:r>
        <w:rPr/>
        <w:t>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w:t>
      </w:r>
    </w:p>
    <w:p>
      <w:pPr>
        <w:pStyle w:val="Sharon2"/>
        <w:numPr>
          <w:ilvl w:val="0"/>
          <w:numId w:val="2"/>
        </w:numPr>
        <w:ind w:hanging="0" w:start="0"/>
        <w:rPr/>
      </w:pPr>
      <w:r>
        <w:rPr>
          <w:b/>
          <w:bCs/>
        </w:rPr>
        <w:t>[Any provision declared or rendered unlawful by any applicable court of law or regulatory agency or deemed unlawful because of a statutory change (individually or collectively, such events referred to as "</w:t>
      </w:r>
      <w:r>
        <w:rPr>
          <w:b/>
          <w:bCs/>
          <w:u w:val="single"/>
        </w:rPr>
        <w:t>Regulatory Event</w:t>
      </w:r>
      <w:r>
        <w:rPr>
          <w:b/>
          <w:bCs/>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w:t>
      </w:r>
    </w:p>
    <w:p>
      <w:pPr>
        <w:pStyle w:val="Sharon2"/>
        <w:numPr>
          <w:ilvl w:val="0"/>
          <w:numId w:val="2"/>
        </w:numPr>
        <w:ind w:hanging="0" w:start="0"/>
        <w:rPr/>
      </w:pPr>
      <w:r>
        <w:rPr/>
        <w:t>I</w:t>
      </w:r>
      <w:r>
        <w:rPr>
          <w:rFonts w:cs="Arial"/>
        </w:rPr>
        <w:t>n addition to all other amounts payable hereunder, the Defaulting Party shall reimburse the other party, on demand, for actual, reasonable out-of-pocket expenses, including, without limitation, reasonable legal fees and expenses incurred by the other party in connection with the enforcement of, or the preservation of its rights in respect hereof, together with interest thereon at the Interest Rate.</w:t>
      </w:r>
      <w:r>
        <w:rPr/>
        <w:t xml:space="preserve"> </w:t>
      </w:r>
    </w:p>
    <w:p>
      <w:pPr>
        <w:pStyle w:val="Sharon1"/>
        <w:numPr>
          <w:ilvl w:val="0"/>
          <w:numId w:val="3"/>
        </w:numPr>
        <w:rPr/>
      </w:pPr>
      <w:r>
        <w:rPr>
          <w:b/>
          <w:u w:val="single"/>
        </w:rPr>
        <w:t>Securities Representation</w:t>
      </w:r>
      <w:r>
        <w:rPr>
          <w:bCs/>
        </w:rPr>
        <w:t xml:space="preserve">.  </w:t>
      </w:r>
      <w:r>
        <w:rPr/>
        <w:t xml:space="preserve">Each party, with respect to itself, hereby represents and warrants that, to the extent any Transaction shall constitute an "OTC derivative" pursuant to the </w:t>
      </w:r>
      <w:r>
        <w:rPr>
          <w:i/>
          <w:iCs/>
        </w:rPr>
        <w:t>Securities Act</w:t>
      </w:r>
      <w:r>
        <w:rPr/>
        <w:t xml:space="preserve"> (Alberta) or the </w:t>
      </w:r>
      <w:r>
        <w:rPr>
          <w:i/>
          <w:iCs/>
        </w:rPr>
        <w:t>Securities Act</w:t>
      </w:r>
      <w:r>
        <w:rPr/>
        <w:t xml:space="preserve"> (British Columbia), it is a "Qualified Party" within the meaning of paragraph 9.1 of the Alberta Securities Commission Blanket Order BOR#91-102 and paragraph 1.1 of the British Columbia Securities Commission Blanket Order BOR#91-501, and that it is similarly qualified pursuant to any equivalent or analogous law, order or enactment of any other jurisdiction that may have application to such Transaction.</w:t>
      </w:r>
    </w:p>
    <w:p>
      <w:pPr>
        <w:pStyle w:val="Sharon1"/>
        <w:numPr>
          <w:ilvl w:val="0"/>
          <w:numId w:val="3"/>
        </w:numPr>
        <w:rPr>
          <w:bCs/>
          <w:u w:val="single"/>
        </w:rPr>
      </w:pPr>
      <w:r>
        <w:rPr>
          <w:b/>
          <w:bCs/>
          <w:color w:val="000000"/>
          <w:szCs w:val="20"/>
          <w:u w:val="single"/>
        </w:rPr>
        <w:t>Eligible Financial Contract</w:t>
      </w:r>
      <w:r>
        <w:rPr>
          <w:color w:val="000000"/>
          <w:szCs w:val="20"/>
        </w:rPr>
        <w:t xml:space="preserve">.  The parties confirm their intention that this GTC and all Transactions each and together constitute an "eligible financial contract" under the </w:t>
      </w:r>
      <w:r>
        <w:rPr>
          <w:i/>
          <w:iCs/>
          <w:color w:val="000000"/>
          <w:szCs w:val="20"/>
        </w:rPr>
        <w:t>Bankruptcy and Insolvency Act</w:t>
      </w:r>
      <w:r>
        <w:rPr>
          <w:color w:val="000000"/>
          <w:szCs w:val="20"/>
        </w:rPr>
        <w:t xml:space="preserve"> (Canada), the </w:t>
      </w:r>
      <w:r>
        <w:rPr>
          <w:i/>
          <w:iCs/>
          <w:color w:val="000000"/>
          <w:szCs w:val="20"/>
        </w:rPr>
        <w:t>Companies' Creditors Arrangement Act</w:t>
      </w:r>
      <w:r>
        <w:rPr>
          <w:color w:val="000000"/>
          <w:szCs w:val="20"/>
        </w:rPr>
        <w:t xml:space="preserve"> (Canada) and the </w:t>
      </w:r>
      <w:r>
        <w:rPr>
          <w:i/>
          <w:iCs/>
          <w:color w:val="000000"/>
          <w:szCs w:val="20"/>
        </w:rPr>
        <w:t>Winding-up and Restructuring Act</w:t>
      </w:r>
      <w:r>
        <w:rPr>
          <w:color w:val="000000"/>
          <w:szCs w:val="20"/>
        </w:rPr>
        <w:t xml:space="preserve"> (Canada), as the same may be amended, restated, replaced or re-enacted from time to time, and will be similarly treated under and in all proceedings related to bankruptcy or insolvency of a party.</w:t>
      </w:r>
    </w:p>
    <w:p>
      <w:pPr>
        <w:pStyle w:val="Sharon1"/>
        <w:numPr>
          <w:ilvl w:val="0"/>
          <w:numId w:val="3"/>
        </w:numPr>
        <w:rPr>
          <w:rFonts w:cs="Arial"/>
        </w:rPr>
      </w:pPr>
      <w:r>
        <w:rPr>
          <w:b/>
          <w:u w:val="single"/>
        </w:rPr>
        <w:t>General Definitions</w:t>
      </w:r>
      <w:r>
        <w:rPr/>
        <w:t>.  As used in this GTC or any Transaction:</w:t>
      </w:r>
    </w:p>
    <w:p>
      <w:pPr>
        <w:pStyle w:val="Normal"/>
        <w:tabs>
          <w:tab w:val="clear" w:pos="720"/>
          <w:tab w:val="left" w:pos="810" w:leader="none"/>
          <w:tab w:val="left" w:pos="1170" w:leader="none"/>
        </w:tabs>
        <w:rPr/>
      </w:pPr>
      <w:r>
        <w:rPr>
          <w:rFonts w:cs="Arial"/>
          <w:i/>
        </w:rPr>
        <w:t>"</w:t>
      </w:r>
      <w:r>
        <w:rPr>
          <w:rFonts w:cs="Arial"/>
          <w:i/>
          <w:u w:val="single"/>
        </w:rPr>
        <w:t>Affiliate</w:t>
      </w:r>
      <w:r>
        <w:rPr>
          <w:rFonts w:cs="Arial"/>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rPr/>
      </w:pPr>
      <w:r>
        <w:rPr>
          <w:rFonts w:cs="Arial"/>
        </w:rPr>
        <w:t>"</w:t>
      </w:r>
      <w:r>
        <w:rPr>
          <w:rFonts w:cs="Arial"/>
          <w:i/>
          <w:u w:val="single"/>
        </w:rPr>
        <w:t>American</w:t>
      </w:r>
      <w:r>
        <w:rPr>
          <w:rFonts w:cs="Arial"/>
        </w:rPr>
        <w:t>" means a style of Option pursuant to which the right(s) granted are exercisable on any Business Day during an Exercise Period that consists of more than one day.</w:t>
      </w:r>
    </w:p>
    <w:p>
      <w:pPr>
        <w:pStyle w:val="Normal"/>
        <w:rPr/>
      </w:pPr>
      <w:r>
        <w:rPr>
          <w:rFonts w:cs="Arial"/>
        </w:rPr>
        <w:t>"</w:t>
      </w:r>
      <w:r>
        <w:rPr>
          <w:rFonts w:cs="Arial"/>
          <w:i/>
          <w:u w:val="single"/>
        </w:rPr>
        <w:t>Asian</w:t>
      </w:r>
      <w:r>
        <w:rPr>
          <w:rFonts w:cs="Arial"/>
          <w:i/>
        </w:rPr>
        <w:t>"</w:t>
      </w:r>
      <w:r>
        <w:rPr>
          <w:rFonts w:cs="Arial"/>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rPr/>
      </w:pPr>
      <w:r>
        <w:rPr>
          <w:rFonts w:cs="Arial"/>
        </w:rPr>
        <w:t>"</w:t>
      </w:r>
      <w:r>
        <w:rPr>
          <w:rFonts w:cs="Arial"/>
          <w:i/>
          <w:u w:val="single"/>
        </w:rPr>
        <w:t>Automatic Exercise</w:t>
      </w:r>
      <w:r>
        <w:rPr>
          <w:rFonts w:cs="Arial"/>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rPr/>
      </w:pPr>
      <w:r>
        <w:rPr>
          <w:rFonts w:cs="Arial"/>
        </w:rPr>
        <w:t>"</w:t>
      </w:r>
      <w:r>
        <w:rPr>
          <w:rFonts w:cs="Arial"/>
          <w:i/>
          <w:u w:val="single"/>
        </w:rPr>
        <w:t>Call</w:t>
      </w:r>
      <w:r>
        <w:rPr>
          <w:rFonts w:cs="Arial"/>
        </w:rPr>
        <w:t>" means an Option entitling Buyer to receive after exercise the Cash Settlement Amount on the applicable Payment Date(s) if the Floating Price exceeds the Strike Price.</w:t>
      </w:r>
    </w:p>
    <w:p>
      <w:pPr>
        <w:pStyle w:val="Normal"/>
        <w:rPr/>
      </w:pPr>
      <w:r>
        <w:rPr>
          <w:rFonts w:cs="Arial"/>
        </w:rPr>
        <w:t>“</w:t>
      </w:r>
      <w:r>
        <w:rPr>
          <w:rFonts w:cs="Arial"/>
          <w:i/>
          <w:u w:val="single"/>
        </w:rPr>
        <w:t>Cap Amount</w:t>
      </w:r>
      <w:r>
        <w:rPr>
          <w:rFonts w:cs="Arial"/>
        </w:rPr>
        <w:t>” means an amount equal to the product of (a) the Notional Quantity per Determination Period multiplied by (b) the Cap Price, or as otherwise provided in the Transaction.</w:t>
      </w:r>
    </w:p>
    <w:p>
      <w:pPr>
        <w:pStyle w:val="Normal"/>
        <w:rPr/>
      </w:pPr>
      <w:r>
        <w:rPr>
          <w:rFonts w:cs="Arial"/>
        </w:rPr>
        <w:t>"</w:t>
      </w:r>
      <w:r>
        <w:rPr>
          <w:rFonts w:cs="Arial"/>
          <w:i/>
          <w:u w:val="single"/>
        </w:rPr>
        <w:t>Cash Settlement Amount</w:t>
      </w:r>
      <w:r>
        <w:rPr>
          <w:rFonts w:cs="Arial"/>
        </w:rPr>
        <w:t>" means, in respect of an Option, an amount (if any) that is payable by Seller on the applicable Payment Date(s) and is determined as provided in the Transaction governing such Option.</w:t>
      </w:r>
    </w:p>
    <w:p>
      <w:pPr>
        <w:pStyle w:val="Normal"/>
        <w:rPr/>
      </w:pPr>
      <w:r>
        <w:rPr>
          <w:rFonts w:cs="Arial"/>
        </w:rPr>
        <w:t>"</w:t>
      </w:r>
      <w:r>
        <w:rPr>
          <w:rFonts w:cs="Arial"/>
          <w:i/>
          <w:u w:val="single"/>
        </w:rPr>
        <w:t>Derivative Transaction</w:t>
      </w:r>
      <w:r>
        <w:rPr>
          <w:rFonts w:cs="Arial"/>
        </w:rPr>
        <w:t xml:space="preserve">" means </w:t>
      </w:r>
      <w:r>
        <w:rPr>
          <w:rFonts w:cs="Arial"/>
          <w:b/>
          <w:bCs/>
        </w:rPr>
        <w:t>[any Transaction, including]</w:t>
      </w:r>
      <w:r>
        <w:rPr>
          <w:rFonts w:cs="Arial"/>
        </w:rPr>
        <w:t xml:space="preserve"> any swap, option or other financially-settled derivative transaction between the parties.</w:t>
      </w:r>
    </w:p>
    <w:p>
      <w:pPr>
        <w:pStyle w:val="Normal"/>
        <w:rPr/>
      </w:pPr>
      <w:r>
        <w:rPr>
          <w:rFonts w:cs="Arial"/>
          <w:i/>
        </w:rPr>
        <w:t>"</w:t>
      </w:r>
      <w:r>
        <w:rPr>
          <w:rFonts w:cs="Arial"/>
          <w:i/>
          <w:u w:val="single"/>
        </w:rPr>
        <w:t>Determination Period</w:t>
      </w:r>
      <w:r>
        <w:rPr>
          <w:rFonts w:cs="Arial"/>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rPr/>
      </w:pPr>
      <w:r>
        <w:rPr>
          <w:rFonts w:cs="Arial"/>
        </w:rPr>
        <w:t>"</w:t>
      </w:r>
      <w:r>
        <w:rPr>
          <w:rFonts w:cs="Arial"/>
          <w:i/>
          <w:u w:val="single"/>
        </w:rPr>
        <w:t>European</w:t>
      </w:r>
      <w:r>
        <w:rPr>
          <w:rFonts w:cs="Arial"/>
          <w:i/>
        </w:rPr>
        <w:t>"</w:t>
      </w:r>
      <w:r>
        <w:rPr>
          <w:rFonts w:cs="Arial"/>
        </w:rPr>
        <w:t xml:space="preserve"> means a style of Option pursuant to which the right(s) granted are exercisable only on the one day designated as the Exercise Period in the Transaction, if any.</w:t>
      </w:r>
    </w:p>
    <w:p>
      <w:pPr>
        <w:pStyle w:val="Normal"/>
        <w:rPr/>
      </w:pPr>
      <w:r>
        <w:rPr>
          <w:rFonts w:cs="Arial"/>
        </w:rPr>
        <w:t>"</w:t>
      </w:r>
      <w:r>
        <w:rPr>
          <w:rFonts w:cs="Arial"/>
          <w:i/>
          <w:u w:val="single"/>
        </w:rPr>
        <w:t>Fixed Amount</w:t>
      </w:r>
      <w:r>
        <w:rPr>
          <w:rFonts w:cs="Arial"/>
        </w:rPr>
        <w:t>" means an amount equal to the product of (a) the Notional Quantity per Determination Period multiplied by (b) the Fixed Price, or as otherwise provided in the Transaction.</w:t>
      </w:r>
    </w:p>
    <w:p>
      <w:pPr>
        <w:pStyle w:val="Normal"/>
        <w:rPr/>
      </w:pPr>
      <w:r>
        <w:rPr>
          <w:rFonts w:cs="Arial"/>
        </w:rPr>
        <w:t>“</w:t>
      </w:r>
      <w:r>
        <w:rPr>
          <w:rFonts w:cs="Arial"/>
          <w:i/>
          <w:u w:val="single"/>
        </w:rPr>
        <w:t>Fixed Price Payor</w:t>
      </w:r>
      <w:r>
        <w:rPr>
          <w:rFonts w:cs="Arial"/>
        </w:rPr>
        <w:t>” means (a) Company if the terms set forth on the Website relevant to the Transaction provide that counterparty is ‘Selling’ and (b) counterparty if the terms set forth on the Website relevant to the Transaction provide that counterparty is ‘Buying’.</w:t>
      </w:r>
    </w:p>
    <w:p>
      <w:pPr>
        <w:pStyle w:val="Normal"/>
        <w:rPr/>
      </w:pPr>
      <w:r>
        <w:rPr>
          <w:rFonts w:cs="Arial"/>
        </w:rPr>
        <w:t>"</w:t>
      </w:r>
      <w:r>
        <w:rPr>
          <w:rFonts w:cs="Arial"/>
          <w:i/>
          <w:u w:val="single"/>
        </w:rPr>
        <w:t>Floating Amount</w:t>
      </w:r>
      <w:r>
        <w:rPr>
          <w:rFonts w:cs="Arial"/>
        </w:rPr>
        <w:t>" means an amount equal to the product of (a) the Notional Quantity per Determination Period multiplied by (b) the Floating Price, or as otherwise provided in the Transaction.</w:t>
      </w:r>
    </w:p>
    <w:p>
      <w:pPr>
        <w:pStyle w:val="Normal"/>
        <w:rPr/>
      </w:pPr>
      <w:r>
        <w:rPr>
          <w:rFonts w:cs="Arial"/>
        </w:rPr>
        <w:t>“</w:t>
      </w:r>
      <w:r>
        <w:rPr>
          <w:rFonts w:cs="Arial"/>
          <w:i/>
          <w:u w:val="single"/>
        </w:rPr>
        <w:t>Floating Price Payor</w:t>
      </w:r>
      <w:r>
        <w:rPr>
          <w:rFonts w:cs="Arial"/>
        </w:rPr>
        <w:t>” means (a) Company if the terms set forth on the Website relevant to the Transaction provide that counterparty is ‘Buying’ and (b) counterparty if the terms set forth on the Website relevant to the Transaction provide that Counterparty is ‘Selling’.</w:t>
      </w:r>
    </w:p>
    <w:p>
      <w:pPr>
        <w:pStyle w:val="Normal"/>
        <w:rPr/>
      </w:pPr>
      <w:r>
        <w:rPr>
          <w:rFonts w:cs="Arial"/>
        </w:rPr>
        <w:t>“</w:t>
      </w:r>
      <w:r>
        <w:rPr>
          <w:rFonts w:cs="Arial"/>
          <w:i/>
          <w:u w:val="single"/>
        </w:rPr>
        <w:t>Floor Amount</w:t>
      </w:r>
      <w:r>
        <w:rPr>
          <w:rFonts w:cs="Arial"/>
        </w:rPr>
        <w:t>” means an amount equal to the product of (a) the Notional Quantity per Determination Period multiplied by (b) the Floor Price, or as otherwise provided in the Transaction.</w:t>
      </w:r>
    </w:p>
    <w:p>
      <w:pPr>
        <w:pStyle w:val="Normal"/>
        <w:rPr/>
      </w:pPr>
      <w:r>
        <w:rPr>
          <w:rFonts w:cs="Arial"/>
        </w:rPr>
        <w:t>"</w:t>
      </w:r>
      <w:r>
        <w:rPr>
          <w:rFonts w:cs="Arial"/>
          <w:i/>
          <w:u w:val="single"/>
        </w:rPr>
        <w:t>Indemnifiable Tax</w:t>
      </w:r>
      <w:r>
        <w:rPr>
          <w:rFonts w:cs="Arial"/>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rPr/>
      </w:pPr>
      <w:r>
        <w:rPr>
          <w:rFonts w:cs="Arial"/>
        </w:rPr>
        <w:t>"</w:t>
      </w:r>
      <w:r>
        <w:rPr>
          <w:rFonts w:cs="Arial"/>
          <w:i/>
          <w:u w:val="single"/>
        </w:rPr>
        <w:t>Interest Rate</w:t>
      </w:r>
      <w:r>
        <w:rPr>
          <w:rFonts w:cs="Arial"/>
        </w:rPr>
        <w:t xml:space="preserve">" means </w:t>
      </w:r>
      <w:r>
        <w:rPr/>
        <w:t>a per annum rate of interest equal to the commercial prime lending rate of Canadian Imperial Bank of Commerce plus two percent; provided the Interest Rate shall never exceed the maximum rte of interest permitted by law.</w:t>
      </w:r>
    </w:p>
    <w:p>
      <w:pPr>
        <w:pStyle w:val="Normal"/>
        <w:rPr/>
      </w:pPr>
      <w:r>
        <w:rPr>
          <w:rFonts w:cs="Arial"/>
        </w:rPr>
        <w:t>"</w:t>
      </w:r>
      <w:r>
        <w:rPr>
          <w:rFonts w:cs="Arial"/>
          <w:i/>
          <w:u w:val="single"/>
        </w:rPr>
        <w:t>Market Disruption Event</w:t>
      </w:r>
      <w:r>
        <w:rPr>
          <w:rFonts w:cs="Arial"/>
        </w:rPr>
        <w:t>" means, with respect to a Floating Price Source, any of the following events (the existence of which shall be determined in good faith by Company):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rPr/>
      </w:pPr>
      <w:r>
        <w:rPr>
          <w:rFonts w:cs="Arial"/>
        </w:rPr>
        <w:t>"</w:t>
      </w:r>
      <w:r>
        <w:rPr>
          <w:rFonts w:cs="Arial"/>
          <w:i/>
          <w:u w:val="single"/>
        </w:rPr>
        <w:t>Notice of Exercise</w:t>
      </w:r>
      <w:r>
        <w:rPr>
          <w:rFonts w:cs="Arial"/>
          <w:i/>
        </w:rPr>
        <w:t>"</w:t>
      </w:r>
      <w:r>
        <w:rPr>
          <w:rFonts w:cs="Arial"/>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rPr/>
      </w:pPr>
      <w:r>
        <w:rPr>
          <w:rFonts w:cs="Arial"/>
        </w:rPr>
        <w:t>"</w:t>
      </w:r>
      <w:r>
        <w:rPr>
          <w:rFonts w:cs="Arial"/>
          <w:i/>
          <w:u w:val="single"/>
        </w:rPr>
        <w:t>Option</w:t>
      </w:r>
      <w:r>
        <w:rPr>
          <w:rFonts w:cs="Arial"/>
        </w:rPr>
        <w:t>" means a Transaction that is a Call, Cap, Floor, Put, Swaption or is identified in the relevant Transaction as an Option.</w:t>
      </w:r>
    </w:p>
    <w:p>
      <w:pPr>
        <w:pStyle w:val="Normal"/>
        <w:rPr/>
      </w:pPr>
      <w:r>
        <w:rPr>
          <w:rFonts w:cs="Arial"/>
        </w:rPr>
        <w:t>"</w:t>
      </w:r>
      <w:r>
        <w:rPr>
          <w:rFonts w:cs="Arial"/>
          <w:i/>
          <w:u w:val="single"/>
        </w:rPr>
        <w:t>Put</w:t>
      </w:r>
      <w:r>
        <w:rPr>
          <w:rFonts w:cs="Arial"/>
        </w:rPr>
        <w:t>" means an Option entitling Buyer to receive after exercise the Cash Settlement Amount on the applicable Payment Date(s) if the Strike Price exceeds the Floating Price.</w:t>
      </w:r>
    </w:p>
    <w:p>
      <w:pPr>
        <w:pStyle w:val="Normal"/>
        <w:rPr/>
      </w:pPr>
      <w:r>
        <w:rPr>
          <w:rFonts w:cs="Arial"/>
        </w:rPr>
        <w:t>"</w:t>
      </w:r>
      <w:r>
        <w:rPr>
          <w:rFonts w:cs="Arial"/>
          <w:i/>
          <w:u w:val="single"/>
        </w:rPr>
        <w:t>Swaption</w:t>
      </w:r>
      <w:r>
        <w:rPr>
          <w:rFonts w:cs="Arial"/>
          <w:i/>
        </w:rPr>
        <w:t>"</w:t>
      </w:r>
      <w:r>
        <w:rPr>
          <w:rFonts w:cs="Arial"/>
        </w:rPr>
        <w:t xml:space="preserve"> means an Option to cause an Underlying Transaction to become effective.</w:t>
      </w:r>
    </w:p>
    <w:p>
      <w:pPr>
        <w:pStyle w:val="Normal"/>
        <w:rPr/>
      </w:pPr>
      <w:r>
        <w:rPr>
          <w:rFonts w:cs="Arial"/>
        </w:rPr>
        <w:t>"</w:t>
      </w:r>
      <w:r>
        <w:rPr>
          <w:rFonts w:cs="Arial"/>
          <w:i/>
          <w:u w:val="single"/>
        </w:rPr>
        <w:t>Tax</w:t>
      </w:r>
      <w:r>
        <w:rPr>
          <w:rFonts w:cs="Arial"/>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rPr/>
      </w:pPr>
      <w:r>
        <w:rPr>
          <w:rFonts w:cs="Arial"/>
        </w:rPr>
        <w:t>"</w:t>
      </w:r>
      <w:r>
        <w:rPr>
          <w:rFonts w:cs="Arial"/>
          <w:i/>
          <w:u w:val="single"/>
        </w:rPr>
        <w:t>Trading Day</w:t>
      </w:r>
      <w:r>
        <w:rPr>
          <w:rFonts w:cs="Arial"/>
          <w:i/>
        </w:rPr>
        <w:t>"</w:t>
      </w:r>
      <w:r>
        <w:rPr>
          <w:rFonts w:cs="Arial"/>
        </w:rPr>
        <w:t xml:space="preserve"> means (i) in respect of a Transaction for which a Floating Price is a price announced or published by an exchange, a day that is a trading day on that exchange or (ii) in respect of a Transaction for which a Floating Price is not a price announced or published by an exchange, a day in respect of which the relevant price source published the relevant price.</w:t>
      </w:r>
    </w:p>
    <w:p>
      <w:pPr>
        <w:pStyle w:val="Normal"/>
        <w:rPr/>
      </w:pPr>
      <w:r>
        <w:rPr>
          <w:rFonts w:cs="Arial"/>
        </w:rPr>
        <w:t>"</w:t>
      </w:r>
      <w:r>
        <w:rPr>
          <w:rFonts w:cs="Arial"/>
          <w:i/>
          <w:u w:val="single"/>
        </w:rPr>
        <w:t>Transaction</w:t>
      </w:r>
      <w:r>
        <w:rPr>
          <w:rFonts w:cs="Arial"/>
          <w:i/>
        </w:rPr>
        <w:t>"</w:t>
      </w:r>
      <w:r>
        <w:rPr>
          <w:rFonts w:cs="Arial"/>
        </w:rPr>
        <w:t xml:space="preserve"> means </w:t>
      </w:r>
      <w:r>
        <w:rPr>
          <w:rFonts w:cs="Arial"/>
          <w:b/>
          <w:bCs/>
        </w:rPr>
        <w:t>[this GTC taken together with the terms set forth on the Website submitted by Counterparty and accepted by Company]</w:t>
      </w:r>
      <w:r>
        <w:rPr>
          <w:rFonts w:cs="Arial"/>
        </w:rPr>
        <w:t>.</w:t>
      </w:r>
    </w:p>
    <w:p>
      <w:pPr>
        <w:pStyle w:val="Normal"/>
        <w:rPr/>
      </w:pPr>
      <w:r>
        <w:rPr>
          <w:rFonts w:cs="Arial"/>
        </w:rPr>
        <w:t>"</w:t>
      </w:r>
      <w:r>
        <w:rPr>
          <w:rFonts w:cs="Arial"/>
          <w:i/>
          <w:u w:val="single"/>
        </w:rPr>
        <w:t>Underlying Transaction</w:t>
      </w:r>
      <w:r>
        <w:rPr>
          <w:rFonts w:cs="Arial"/>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rPr/>
      </w:pPr>
      <w:r>
        <w:rPr>
          <w:rFonts w:cs="Arial"/>
        </w:rPr>
        <w:t>"</w:t>
      </w:r>
      <w:r>
        <w:rPr>
          <w:rFonts w:cs="Arial"/>
          <w:i/>
          <w:u w:val="single"/>
        </w:rPr>
        <w:t>Written Confirmation</w:t>
      </w:r>
      <w:r>
        <w:rPr>
          <w:rFonts w:cs="Arial"/>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spacing w:before="0" w:after="240"/>
        <w:rPr>
          <w:rFonts w:cs="Arial"/>
        </w:rPr>
      </w:pPr>
      <w:r>
        <w:rPr>
          <w:rFonts w:cs="Arial"/>
        </w:rPr>
      </w:r>
    </w:p>
    <w:sectPr>
      <w:headerReference w:type="default" r:id="rId2"/>
      <w:headerReference w:type="first" r:id="rId3"/>
      <w:footerReference w:type="default" r:id="rId4"/>
      <w:footerReference w:type="first" r:id="rId5"/>
      <w:type w:val="nextPage"/>
      <w:pgSz w:w="12240" w:h="15840"/>
      <w:pgMar w:left="1440" w:right="1440" w:gutter="0" w:header="432" w:top="1080" w:footer="28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0" w:after="240"/>
      <w:rPr/>
    </w:pPr>
    <w:r>
      <w:rPr/>
      <w:fldChar w:fldCharType="begin"/>
    </w:r>
    <w:r>
      <w:rPr/>
      <w:instrText xml:space="preserve"> FILENAME \p </w:instrText>
    </w:r>
    <w:r>
      <w:rPr/>
      <w:fldChar w:fldCharType="separate"/>
    </w:r>
    <w:r>
      <w:rPr/>
      <w:t>/mnt/main-storage/datasets/enron-docs/doc/Online_Financial_GTC_without_credit_v1.doc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0" w:after="240"/>
      <w:rPr/>
    </w:pPr>
    <w:r>
      <w:rPr/>
      <w:fldChar w:fldCharType="begin"/>
    </w:r>
    <w:r>
      <w:rPr/>
      <w:instrText xml:space="preserve"> FILENAME \p </w:instrText>
    </w:r>
    <w:r>
      <w:rPr/>
      <w:fldChar w:fldCharType="separate"/>
    </w:r>
    <w:r>
      <w:rPr/>
      <w:t>/mnt/main-storage/datasets/enron-docs/doc/Online_Financial_GTC_without_credit_v1.doc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s>
      <w:jc w:val="end"/>
      <w:rPr/>
    </w:pPr>
    <w:r>
      <w:rPr/>
      <w:t>Canadian Online Financial</w:t>
    </w:r>
  </w:p>
  <w:p>
    <w:pPr>
      <w:pStyle w:val="Header"/>
      <w:tabs>
        <w:tab w:val="clear" w:pos="8640"/>
        <w:tab w:val="center" w:pos="4320" w:leader="none"/>
      </w:tabs>
      <w:jc w:val="end"/>
      <w:rPr/>
    </w:pPr>
    <w:r>
      <w:rPr/>
      <w:t>GTC Without Credit Support</w:t>
    </w:r>
  </w:p>
  <w:p>
    <w:pPr>
      <w:pStyle w:val="Header"/>
      <w:tabs>
        <w:tab w:val="clear" w:pos="8640"/>
        <w:tab w:val="center" w:pos="4320" w:leader="none"/>
      </w:tabs>
      <w:jc w:val="end"/>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Header"/>
      <w:tabs>
        <w:tab w:val="clear" w:pos="8640"/>
        <w:tab w:val="center" w:pos="4320" w:leader="none"/>
      </w:tabs>
      <w:jc w:val="end"/>
      <w:rPr>
        <w:rStyle w:val="PageNumber"/>
      </w:rPr>
    </w:pPr>
    <w:r>
      <w:rPr/>
    </w:r>
  </w:p>
  <w:p>
    <w:pPr>
      <w:pStyle w:val="Header"/>
      <w:tabs>
        <w:tab w:val="clear" w:pos="8640"/>
        <w:tab w:val="center" w:pos="4320" w:leader="none"/>
      </w:tabs>
      <w:jc w:val="end"/>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2160"/>
        </w:tabs>
        <w:ind w:start="2160" w:hanging="720"/>
      </w:pPr>
      <w:rPr>
        <w:smallCaps w:val="false"/>
        <w:caps w:val="false"/>
        <w:outline w:val="false"/>
        <w:dstrike w:val="false"/>
        <w:strike w:val="false"/>
        <w:vertAlign w:val="baseline"/>
        <w:position w:val="0"/>
        <w:sz w:val="20"/>
        <w:sz w:val="20"/>
        <w:i w:val="false"/>
        <w:shadow w:val="false"/>
        <w:b w:val="false"/>
        <w:vanish w:val="false"/>
        <w:rFonts w:ascii="Arial" w:hAnsi="Arial" w:cs="Arial"/>
      </w:rPr>
    </w:lvl>
  </w:abstractNum>
  <w:abstractNum w:abstractNumId="2">
    <w:lvl w:ilvl="0">
      <w:start w:val="1"/>
      <w:numFmt w:val="lowerRoman"/>
      <w:lvlText w:val="(%1)"/>
      <w:lvlJc w:val="start"/>
      <w:pPr>
        <w:tabs>
          <w:tab w:val="num" w:pos="1440"/>
        </w:tabs>
        <w:ind w:start="1440" w:hanging="720"/>
      </w:pPr>
      <w:rPr>
        <w:smallCaps w:val="false"/>
        <w:caps w:val="false"/>
        <w:outline w:val="false"/>
        <w:dstrike w:val="false"/>
        <w:strike w:val="false"/>
        <w:vertAlign w:val="baseline"/>
        <w:position w:val="0"/>
        <w:sz w:val="20"/>
        <w:sz w:val="20"/>
        <w:i w:val="false"/>
        <w:shadow w:val="false"/>
        <w:b w:val="false"/>
        <w:vanish w:val="false"/>
        <w:rFonts w:ascii="Arial" w:hAnsi="Arial" w:cs="Arial"/>
      </w:rPr>
    </w:lvl>
  </w:abstractNum>
  <w:abstractNum w:abstractNumId="3">
    <w:lvl w:ilvl="0">
      <w:start w:val="1"/>
      <w:numFmt w:val="decimal"/>
      <w:lvlText w:val="%1."/>
      <w:lvlJc w:val="start"/>
      <w:pPr>
        <w:tabs>
          <w:tab w:val="num" w:pos="720"/>
        </w:tabs>
        <w:ind w:start="720" w:hanging="720"/>
      </w:pPr>
      <w:rPr>
        <w:sz w:val="20"/>
        <w:i w:val="false"/>
        <w:b/>
        <w:rFonts w:ascii="Arial" w:hAnsi="Arial" w:cs="Arial"/>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Arial" w:hAnsi="Arial" w:eastAsia="Times New Roman" w:cs="Arial"/>
      <w:color w:val="auto"/>
      <w:sz w:val="20"/>
      <w:szCs w:val="20"/>
      <w:lang w:val="en-US" w:bidi="ar-SA" w:eastAsia="zh-CN"/>
    </w:rPr>
  </w:style>
  <w:style w:type="character" w:styleId="WW8Num1z0">
    <w:name w:val="WW8Num1z0"/>
    <w:qFormat/>
    <w:rPr>
      <w:rFonts w:ascii="Arial" w:hAnsi="Arial" w:cs="Arial"/>
      <w:b w:val="false"/>
      <w:i w:val="false"/>
      <w:caps w:val="false"/>
      <w:smallCaps w:val="false"/>
      <w:strike w:val="false"/>
      <w:dstrike w:val="false"/>
      <w:outline w:val="false"/>
      <w:shadow w:val="false"/>
      <w:vanish w:val="false"/>
      <w:position w:val="0"/>
      <w:sz w:val="20"/>
      <w:sz w:val="20"/>
      <w:vertAlign w:val="baseline"/>
    </w:rPr>
  </w:style>
  <w:style w:type="character" w:styleId="WW8Num2z0">
    <w:name w:val="WW8Num2z0"/>
    <w:qFormat/>
    <w:rPr>
      <w:rFonts w:ascii="Arial" w:hAnsi="Arial" w:cs="Arial"/>
      <w:b w:val="false"/>
      <w:i w:val="false"/>
      <w:caps w:val="false"/>
      <w:smallCaps w:val="false"/>
      <w:strike w:val="false"/>
      <w:dstrike w:val="false"/>
      <w:outline w:val="false"/>
      <w:shadow w:val="false"/>
      <w:vanish w:val="false"/>
      <w:position w:val="0"/>
      <w:sz w:val="20"/>
      <w:sz w:val="20"/>
      <w:vertAlign w:val="baseline"/>
    </w:rPr>
  </w:style>
  <w:style w:type="character" w:styleId="WW8Num3z0">
    <w:name w:val="WW8Num3z0"/>
    <w:qFormat/>
    <w:rPr>
      <w:rFonts w:ascii="Arial" w:hAnsi="Arial" w:cs="Arial"/>
      <w:b/>
      <w:i w:val="false"/>
      <w:sz w:val="20"/>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Times New Roman" w:hAnsi="Tms Rmn;Times New Roman" w:cs="Tms Rmn;Times New Roma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auto" w:line="240" w:before="0" w:after="0"/>
    </w:pPr>
    <w:rPr/>
  </w:style>
  <w:style w:type="paragraph" w:styleId="Footer">
    <w:name w:val="footer"/>
    <w:basedOn w:val="Normal"/>
    <w:pPr>
      <w:tabs>
        <w:tab w:val="clear" w:pos="720"/>
        <w:tab w:val="center" w:pos="4320" w:leader="none"/>
        <w:tab w:val="right" w:pos="8640" w:leader="none"/>
      </w:tabs>
    </w:pPr>
    <w:rPr>
      <w:sz w:val="16"/>
    </w:rPr>
  </w:style>
  <w:style w:type="paragraph" w:styleId="Sharon1">
    <w:name w:val="Sharon1"/>
    <w:basedOn w:val="Normal"/>
    <w:qFormat/>
    <w:pPr>
      <w:numPr>
        <w:ilvl w:val="0"/>
        <w:numId w:val="3"/>
      </w:numPr>
      <w:ind w:hanging="0" w:start="0" w:end="0"/>
    </w:pPr>
    <w:rPr>
      <w:szCs w:val="24"/>
      <w:lang w:val="en-CA"/>
    </w:rPr>
  </w:style>
  <w:style w:type="paragraph" w:styleId="Sharon2">
    <w:name w:val="Sharon2"/>
    <w:basedOn w:val="Normal"/>
    <w:qFormat/>
    <w:pPr>
      <w:numPr>
        <w:ilvl w:val="0"/>
        <w:numId w:val="2"/>
      </w:numPr>
    </w:pPr>
    <w:rPr>
      <w:szCs w:val="24"/>
      <w:lang w:val="en-CA"/>
    </w:rPr>
  </w:style>
  <w:style w:type="paragraph" w:styleId="Sharon3">
    <w:name w:val="Sharon3"/>
    <w:basedOn w:val="Normal"/>
    <w:qFormat/>
    <w:pPr>
      <w:numPr>
        <w:ilvl w:val="0"/>
        <w:numId w:val="1"/>
      </w:numPr>
      <w:spacing w:before="0" w:after="240"/>
    </w:pPr>
    <w:rPr>
      <w:szCs w:val="24"/>
      <w:lang w:val="en-CA"/>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2002-01-18T19:48:00Z</dcterms:created>
  <dc:creator>ECT</dc:creator>
  <dc:description/>
  <dc:language>en-CA</dc:language>
  <cp:lastModifiedBy>scrawfo3</cp:lastModifiedBy>
  <cp:lastPrinted>2002-01-21T09:40:00Z</cp:lastPrinted>
  <dcterms:modified xsi:type="dcterms:W3CDTF">2002-01-21T14:10:00Z</dcterms:modified>
  <cp:revision>5</cp:revision>
  <dc:subject/>
  <dc:title>Draft of 6.19.95</dc:title>
</cp:coreProperties>
</file>