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b/>
        </w:rPr>
      </w:pPr>
      <w:r>
        <w:rPr/>
        <w:tab/>
        <w:tab/>
        <w:tab/>
        <w:tab/>
        <w:tab/>
      </w:r>
    </w:p>
    <w:p>
      <w:pPr>
        <w:pStyle w:val="Normal"/>
        <w:jc w:val="center"/>
        <w:rPr>
          <w:sz w:val="28"/>
        </w:rPr>
      </w:pPr>
      <w:r>
        <w:rPr>
          <w:sz w:val="28"/>
        </w:rPr>
        <w:t>Confirmation between</w:t>
      </w:r>
    </w:p>
    <w:p>
      <w:pPr>
        <w:pStyle w:val="Normal"/>
        <w:jc w:val="center"/>
        <w:rPr>
          <w:sz w:val="28"/>
        </w:rPr>
      </w:pPr>
      <w:r>
        <w:rPr>
          <w:sz w:val="28"/>
        </w:rPr>
        <w:t>Oneok Energy Marketing and Trading and enovate L.L.C.</w:t>
      </w:r>
    </w:p>
    <w:p>
      <w:pPr>
        <w:pStyle w:val="Heading7"/>
        <w:ind w:hanging="0" w:start="0"/>
        <w:rPr/>
      </w:pPr>
      <w:r>
        <w:rPr/>
        <w:t>for a firm natural gas balancing service</w:t>
      </w:r>
    </w:p>
    <w:p>
      <w:pPr>
        <w:pStyle w:val="Normal"/>
        <w:jc w:val="center"/>
        <w:rPr/>
      </w:pPr>
      <w:r>
        <w:rPr/>
      </w:r>
    </w:p>
    <w:p>
      <w:pPr>
        <w:pStyle w:val="Heading2"/>
        <w:ind w:hanging="0" w:start="0"/>
        <w:rPr/>
      </w:pPr>
      <w:r>
        <w:rPr/>
      </w:r>
    </w:p>
    <w:p>
      <w:pPr>
        <w:pStyle w:val="Normal"/>
        <w:rPr/>
      </w:pPr>
      <w:r>
        <w:rPr/>
        <w:t>The following describes the terms of the Firm Balancing Service between “seller” enovate L.L.C. (enovate) and “buyer” Oneok Energy Marketing and Trading (Oneok). The Firm Balancing Service at The Peoples Gas Light and Coke Company (Peoples) citygate involves the ability to carry a negative balance in the period of April through November 2001 and both injection and withdrawal capabilities for the full one-year term as fully described below:</w:t>
      </w:r>
    </w:p>
    <w:p>
      <w:pPr>
        <w:pStyle w:val="Normal"/>
        <w:rPr/>
      </w:pPr>
      <w:r>
        <w:rPr/>
      </w:r>
    </w:p>
    <w:p>
      <w:pPr>
        <w:pStyle w:val="Heading1"/>
        <w:ind w:hanging="0" w:start="0"/>
        <w:rPr>
          <w:sz w:val="36"/>
        </w:rPr>
      </w:pPr>
      <w:r>
        <w:rPr>
          <w:sz w:val="36"/>
        </w:rPr>
        <w:t>Terms</w:t>
      </w:r>
    </w:p>
    <w:p>
      <w:pPr>
        <w:pStyle w:val="Normal"/>
        <w:rPr>
          <w:sz w:val="36"/>
        </w:rPr>
      </w:pPr>
      <w:r>
        <w:rPr>
          <w:sz w:val="36"/>
        </w:rPr>
      </w:r>
    </w:p>
    <w:p>
      <w:pPr>
        <w:pStyle w:val="Normal"/>
        <w:rPr/>
      </w:pPr>
      <w:r>
        <w:rPr/>
        <w:t>Term:</w:t>
        <w:tab/>
        <w:tab/>
        <w:tab/>
        <w:tab/>
        <w:tab/>
        <w:tab/>
        <w:t>April 1, 2001 through March 31, 2002</w:t>
      </w:r>
    </w:p>
    <w:p>
      <w:pPr>
        <w:pStyle w:val="Normal"/>
        <w:rPr/>
      </w:pPr>
      <w:r>
        <w:rPr/>
      </w:r>
    </w:p>
    <w:p>
      <w:pPr>
        <w:pStyle w:val="Normal"/>
        <w:rPr/>
      </w:pPr>
      <w:r>
        <w:rPr/>
        <w:t>MSV (Maximum Storage Volume)</w:t>
        <w:tab/>
        <w:t>500,000 MMBtu</w:t>
      </w:r>
    </w:p>
    <w:p>
      <w:pPr>
        <w:pStyle w:val="Normal"/>
        <w:rPr/>
      </w:pPr>
      <w:r>
        <w:rPr/>
      </w:r>
    </w:p>
    <w:p>
      <w:pPr>
        <w:pStyle w:val="Normal"/>
        <w:ind w:hanging="4320" w:start="4320" w:end="0"/>
        <w:rPr/>
      </w:pPr>
      <w:r>
        <w:rPr/>
        <w:t>Negative Inventory Balance Provision:</w:t>
        <w:tab/>
        <w:t>Oneok may withdraw gas creating a negative inventory balance during the period of April 1</w:t>
      </w:r>
      <w:r>
        <w:rPr>
          <w:vertAlign w:val="superscript"/>
        </w:rPr>
        <w:t xml:space="preserve">st </w:t>
      </w:r>
      <w:r>
        <w:rPr/>
        <w:t>through November 30</w:t>
      </w:r>
      <w:r>
        <w:rPr>
          <w:vertAlign w:val="superscript"/>
        </w:rPr>
        <w:t xml:space="preserve">th </w:t>
      </w:r>
      <w:r>
        <w:rPr/>
        <w:t>up to 500,000 MMBtu. Between December 1,</w:t>
      </w:r>
      <w:r>
        <w:rPr>
          <w:vertAlign w:val="superscript"/>
        </w:rPr>
        <w:t xml:space="preserve"> </w:t>
      </w:r>
      <w:r>
        <w:rPr/>
        <w:t xml:space="preserve">2001 and March 31, 2002 inventory must be at zero or above at all times and may </w:t>
      </w:r>
      <w:r>
        <w:rPr>
          <w:b/>
          <w:bCs/>
        </w:rPr>
        <w:t>not</w:t>
      </w:r>
      <w:r>
        <w:rPr/>
        <w:t xml:space="preserve"> go negative.</w:t>
      </w:r>
    </w:p>
    <w:p>
      <w:pPr>
        <w:pStyle w:val="Normal"/>
        <w:rPr/>
      </w:pPr>
      <w:r>
        <w:rPr/>
      </w:r>
    </w:p>
    <w:p>
      <w:pPr>
        <w:pStyle w:val="Normal"/>
        <w:rPr/>
      </w:pPr>
      <w:r>
        <w:rPr/>
        <w:t>Receipt MDQ:</w:t>
        <w:tab/>
        <w:tab/>
        <w:tab/>
        <w:tab/>
        <w:t>0-25,000 MMBtu per day</w:t>
      </w:r>
    </w:p>
    <w:p>
      <w:pPr>
        <w:pStyle w:val="Normal"/>
        <w:rPr/>
      </w:pPr>
      <w:r>
        <w:rPr/>
      </w:r>
    </w:p>
    <w:p>
      <w:pPr>
        <w:pStyle w:val="Normal"/>
        <w:ind w:hanging="4320" w:start="4320" w:end="0"/>
        <w:rPr/>
      </w:pPr>
      <w:r>
        <w:rPr/>
        <w:t>Receipt Location:</w:t>
        <w:tab/>
        <w:t>Volumes delivered into storage will be tendered at the pooling point on Peoples’ system (Peoples TTP).</w:t>
      </w:r>
    </w:p>
    <w:p>
      <w:pPr>
        <w:pStyle w:val="Normal"/>
        <w:rPr/>
      </w:pPr>
      <w:r>
        <w:rPr/>
      </w:r>
    </w:p>
    <w:p>
      <w:pPr>
        <w:pStyle w:val="Normal"/>
        <w:rPr/>
      </w:pPr>
      <w:r>
        <w:rPr/>
        <w:t>Delivery MDQ:</w:t>
        <w:tab/>
        <w:tab/>
        <w:tab/>
        <w:tab/>
        <w:t>0-25,000 MMBtu per day</w:t>
      </w:r>
    </w:p>
    <w:p>
      <w:pPr>
        <w:pStyle w:val="Normal"/>
        <w:rPr/>
      </w:pPr>
      <w:r>
        <w:rPr/>
      </w:r>
    </w:p>
    <w:p>
      <w:pPr>
        <w:pStyle w:val="Normal"/>
        <w:ind w:hanging="4320" w:start="4320" w:end="0"/>
        <w:rPr/>
      </w:pPr>
      <w:r>
        <w:rPr/>
        <w:t>Delivery Location:</w:t>
        <w:tab/>
        <w:t xml:space="preserve">enovate will provide to Oneok all delivered volumes out of storage at the Peoples TTP. </w:t>
      </w:r>
    </w:p>
    <w:p>
      <w:pPr>
        <w:pStyle w:val="Normal"/>
        <w:rPr/>
      </w:pPr>
      <w:r>
        <w:rPr/>
      </w:r>
    </w:p>
    <w:p>
      <w:pPr>
        <w:pStyle w:val="Normal"/>
        <w:ind w:hanging="4320" w:start="4320" w:end="0"/>
        <w:rPr/>
      </w:pPr>
      <w:r>
        <w:rPr/>
        <w:t>Notification time to enovate:</w:t>
        <w:tab/>
        <w:t xml:space="preserve">Notification from Oneok by </w:t>
      </w:r>
      <w:r>
        <w:rPr>
          <w:b/>
        </w:rPr>
        <w:t>9:30 am</w:t>
      </w:r>
      <w:r>
        <w:rPr/>
        <w:t xml:space="preserve"> on the nomination day prior to gas flow. </w:t>
      </w:r>
    </w:p>
    <w:p>
      <w:pPr>
        <w:pStyle w:val="Normal"/>
        <w:ind w:hanging="4320" w:start="4320" w:end="0"/>
        <w:rPr/>
      </w:pPr>
      <w:r>
        <w:rPr/>
      </w:r>
    </w:p>
    <w:p>
      <w:pPr>
        <w:pStyle w:val="Normal"/>
        <w:ind w:hanging="4320" w:start="4320" w:end="0"/>
        <w:rPr/>
      </w:pPr>
      <w:r>
        <w:rPr/>
        <w:t>Late Notification:</w:t>
        <w:tab/>
        <w:t xml:space="preserve">Late nominations available by 3:30 pm on same nomination day. All late nomination cycle changes limited to + or – 50% of the original timely nomination. If the original timely nomination is 0 (zero), then late nomination rights available up to 12,500 MMBtu. </w:t>
      </w:r>
    </w:p>
    <w:p>
      <w:pPr>
        <w:pStyle w:val="Normal"/>
        <w:ind w:hanging="4320" w:start="4320" w:end="0"/>
        <w:rPr/>
      </w:pPr>
      <w:r>
        <w:rPr/>
      </w:r>
    </w:p>
    <w:p>
      <w:pPr>
        <w:pStyle w:val="Normal"/>
        <w:ind w:hanging="4320" w:start="4320" w:end="0"/>
        <w:rPr/>
      </w:pPr>
      <w:r>
        <w:rPr/>
        <w:t>Late nomination provision:</w:t>
        <w:tab/>
        <w:t xml:space="preserve">If the late nomination cycle is discontinued by The Peoples Gas Light and Coke Company and enovate is unable to provide the late changes as described above, then the timely nomination notification time from Oneok will be changed to 10:00 am for the day prior to gas flow. This provision will remain in effect as long as the late nomination capabilities are disallowed at Peoples citygate. </w:t>
      </w:r>
    </w:p>
    <w:p>
      <w:pPr>
        <w:pStyle w:val="Normal"/>
        <w:ind w:hanging="4320" w:start="4320" w:end="0"/>
        <w:rPr/>
      </w:pPr>
      <w:r>
        <w:rPr/>
      </w:r>
    </w:p>
    <w:p>
      <w:pPr>
        <w:pStyle w:val="Normal"/>
        <w:ind w:hanging="4320" w:start="4320" w:end="0"/>
        <w:rPr/>
      </w:pPr>
      <w:r>
        <w:rPr/>
        <w:t>Guaranteed rate to enovate:</w:t>
        <w:tab/>
        <w:t>$1.75 per MMBtu of the MSV or $875,000.</w:t>
      </w:r>
    </w:p>
    <w:p>
      <w:pPr>
        <w:pStyle w:val="Normal"/>
        <w:ind w:hanging="4320" w:start="4320" w:end="0"/>
        <w:rPr/>
      </w:pPr>
      <w:r>
        <w:rPr/>
      </w:r>
    </w:p>
    <w:p>
      <w:pPr>
        <w:pStyle w:val="Normal"/>
        <w:ind w:hanging="4320" w:start="4320" w:end="0"/>
        <w:rPr/>
      </w:pPr>
      <w:r>
        <w:rPr/>
        <w:t>Payment Terms:</w:t>
        <w:tab/>
        <w:t>enovate will bill Oneok for this service each month during the twelve-month term of this agreement as a reservation charge. As such, Oneok will pay each month $72,916.67 to enovate by the 25</w:t>
      </w:r>
      <w:r>
        <w:rPr>
          <w:vertAlign w:val="superscript"/>
        </w:rPr>
        <w:t>th</w:t>
      </w:r>
      <w:r>
        <w:rPr/>
        <w:t xml:space="preserve"> day of the month proceeding the service month. </w:t>
      </w:r>
    </w:p>
    <w:p>
      <w:pPr>
        <w:pStyle w:val="Normal"/>
        <w:ind w:hanging="4320" w:start="4320" w:end="0"/>
        <w:rPr/>
      </w:pPr>
      <w:r>
        <w:rPr/>
      </w:r>
    </w:p>
    <w:p>
      <w:pPr>
        <w:pStyle w:val="BodyTextIndent"/>
        <w:spacing w:before="0" w:after="0"/>
        <w:rPr/>
      </w:pPr>
      <w:r>
        <w:rPr/>
        <w:t>Penalty Provision:</w:t>
        <w:tab/>
        <w:t xml:space="preserve">If Oneok fails to comply with the terms and is, at any time, physically </w:t>
      </w:r>
      <w:r>
        <w:rPr>
          <w:b/>
          <w:bCs/>
        </w:rPr>
        <w:t>above</w:t>
      </w:r>
      <w:r>
        <w:rPr/>
        <w:t xml:space="preserve"> their contractual storage limitations then enovate will buy from Oneok the equivalent volumes, at a daily volume up to the contract MDQ, at the lesser of the </w:t>
      </w:r>
      <w:r>
        <w:rPr>
          <w:i/>
          <w:iCs/>
        </w:rPr>
        <w:t>Gas Daily</w:t>
      </w:r>
      <w:r>
        <w:rPr/>
        <w:t xml:space="preserve">, daily “common low” price for Chicago minus $0.15 or the NGI Chicago FOM Index minus $0.15. If Oneok fails to comply with the terms and is, at any time, physically </w:t>
      </w:r>
      <w:r>
        <w:rPr>
          <w:b/>
          <w:bCs/>
        </w:rPr>
        <w:t>below</w:t>
      </w:r>
      <w:r>
        <w:rPr/>
        <w:t xml:space="preserve"> their contractual storage limitations then enovate will sell to Oneok the equivalent volumes, at a daily volume up to the contract MDQ, at the greater of the “common high” </w:t>
      </w:r>
      <w:r>
        <w:rPr>
          <w:i/>
          <w:iCs/>
        </w:rPr>
        <w:t>Gas Daily,</w:t>
      </w:r>
      <w:r>
        <w:rPr/>
        <w:t xml:space="preserve"> daily price for Chicago plus $0.15 or the NGI Chicago FOM Index plus $0.15.</w:t>
      </w:r>
    </w:p>
    <w:p>
      <w:pPr>
        <w:pStyle w:val="BodyTextIndent"/>
        <w:spacing w:before="0" w:after="0"/>
        <w:ind w:hanging="6480" w:start="3600" w:end="0"/>
        <w:rPr/>
      </w:pPr>
      <w:r>
        <w:rPr/>
      </w:r>
    </w:p>
    <w:p>
      <w:pPr>
        <w:pStyle w:val="BodyTextIndent"/>
        <w:spacing w:before="0" w:after="0"/>
        <w:ind w:hanging="6480" w:start="3600" w:end="0"/>
        <w:rPr/>
      </w:pPr>
      <w:r>
        <w:rPr/>
      </w:r>
    </w:p>
    <w:p>
      <w:pPr>
        <w:pStyle w:val="BodyTextIndent"/>
        <w:spacing w:before="0" w:after="0"/>
        <w:ind w:hanging="6480" w:start="6480" w:end="0"/>
        <w:rPr/>
      </w:pPr>
      <w:r>
        <w:rPr/>
      </w:r>
    </w:p>
    <w:sectPr>
      <w:type w:val="nextPage"/>
      <w:pgSz w:w="12240" w:h="15840"/>
      <w:pgMar w:left="1296" w:right="1296" w:gutter="0" w:header="0" w:top="12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Impact">
    <w:charset w:val="00" w:characterSet="windows-1252"/>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000000"/>
      <w:sz w:val="24"/>
      <w:szCs w:val="24"/>
      <w:lang w:val="en-US" w:bidi="ar-SA" w:eastAsia="zh-CN"/>
    </w:rPr>
  </w:style>
  <w:style w:type="paragraph" w:styleId="Heading1">
    <w:name w:val="heading 1"/>
    <w:basedOn w:val="Normal"/>
    <w:next w:val="Normal"/>
    <w:qFormat/>
    <w:pPr>
      <w:keepNext w:val="true"/>
      <w:numPr>
        <w:ilvl w:val="0"/>
        <w:numId w:val="1"/>
      </w:numPr>
      <w:outlineLvl w:val="0"/>
    </w:pPr>
    <w:rPr>
      <w:color w:val="660033"/>
      <w:sz w:val="48"/>
      <w:szCs w:val="48"/>
      <w:u w:val="single"/>
    </w:rPr>
  </w:style>
  <w:style w:type="paragraph" w:styleId="Heading2">
    <w:name w:val="heading 2"/>
    <w:basedOn w:val="Normal"/>
    <w:next w:val="Normal"/>
    <w:qFormat/>
    <w:pPr>
      <w:keepNext w:val="true"/>
      <w:numPr>
        <w:ilvl w:val="1"/>
        <w:numId w:val="1"/>
      </w:numPr>
      <w:outlineLvl w:val="1"/>
    </w:pPr>
    <w:rPr>
      <w:color w:val="660033"/>
      <w:sz w:val="36"/>
      <w:szCs w:val="36"/>
    </w:rPr>
  </w:style>
  <w:style w:type="paragraph" w:styleId="Heading3">
    <w:name w:val="heading 3"/>
    <w:basedOn w:val="Normal"/>
    <w:next w:val="Normal"/>
    <w:qFormat/>
    <w:pPr>
      <w:keepNext w:val="true"/>
      <w:numPr>
        <w:ilvl w:val="2"/>
        <w:numId w:val="1"/>
      </w:numPr>
      <w:spacing w:before="240" w:after="60"/>
      <w:outlineLvl w:val="2"/>
    </w:pPr>
    <w:rPr>
      <w:rFonts w:cs="Arial"/>
      <w:bCs/>
      <w:color w:val="660033"/>
      <w:sz w:val="28"/>
      <w:szCs w:val="28"/>
    </w:rPr>
  </w:style>
  <w:style w:type="paragraph" w:styleId="Heading4">
    <w:name w:val="heading 4"/>
    <w:basedOn w:val="Normal"/>
    <w:next w:val="Normal"/>
    <w:qFormat/>
    <w:pPr>
      <w:keepNext w:val="true"/>
      <w:numPr>
        <w:ilvl w:val="3"/>
        <w:numId w:val="1"/>
      </w:numPr>
      <w:spacing w:before="240" w:after="60"/>
      <w:outlineLvl w:val="3"/>
    </w:pPr>
    <w:rPr>
      <w:bCs/>
      <w:color w:val="660033"/>
    </w:rPr>
  </w:style>
  <w:style w:type="paragraph" w:styleId="Heading5">
    <w:name w:val="heading 5"/>
    <w:basedOn w:val="Normal"/>
    <w:next w:val="Normal"/>
    <w:qFormat/>
    <w:pPr>
      <w:numPr>
        <w:ilvl w:val="4"/>
        <w:numId w:val="1"/>
      </w:numPr>
      <w:spacing w:before="240" w:after="60"/>
      <w:outlineLvl w:val="4"/>
    </w:pPr>
    <w:rPr>
      <w:bCs/>
      <w:iCs/>
      <w:color w:val="660033"/>
      <w:sz w:val="20"/>
      <w:szCs w:val="20"/>
    </w:rPr>
  </w:style>
  <w:style w:type="paragraph" w:styleId="Heading6">
    <w:name w:val="heading 6"/>
    <w:basedOn w:val="Normal"/>
    <w:next w:val="Normal"/>
    <w:qFormat/>
    <w:pPr>
      <w:numPr>
        <w:ilvl w:val="5"/>
        <w:numId w:val="1"/>
      </w:numPr>
      <w:spacing w:before="240" w:after="60"/>
      <w:outlineLvl w:val="5"/>
    </w:pPr>
    <w:rPr>
      <w:bCs/>
      <w:color w:val="660033"/>
      <w:sz w:val="16"/>
      <w:szCs w:val="16"/>
    </w:rPr>
  </w:style>
  <w:style w:type="paragraph" w:styleId="Heading7">
    <w:name w:val="heading 7"/>
    <w:basedOn w:val="Normal"/>
    <w:next w:val="Normal"/>
    <w:qFormat/>
    <w:pPr>
      <w:keepNext w:val="true"/>
      <w:numPr>
        <w:ilvl w:val="6"/>
        <w:numId w:val="1"/>
      </w:numPr>
      <w:jc w:val="center"/>
      <w:outlineLvl w:val="6"/>
    </w:pPr>
    <w:rPr>
      <w:sz w:val="28"/>
    </w:rPr>
  </w:style>
  <w:style w:type="character" w:styleId="DefaultParagraphFont">
    <w:name w:val="Default Paragraph Font"/>
    <w:qFormat/>
    <w:rPr/>
  </w:style>
  <w:style w:type="character" w:styleId="Hyperlink">
    <w:name w:val="Hyperlink"/>
    <w:basedOn w:val="DefaultParagraphFont"/>
    <w:rPr>
      <w:color w:val="993300"/>
      <w:u w:val="single"/>
    </w:rPr>
  </w:style>
  <w:style w:type="character" w:styleId="FollowedHyperlink">
    <w:name w:val="FollowedHyperlink"/>
    <w:basedOn w:val="DefaultParagraphFont"/>
    <w:rPr>
      <w:color w:val="66660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00"/>
      <w:ind w:hanging="4320" w:start="43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2001-02-22T15:50:00Z</dcterms:created>
  <dc:creator>Tim Hermann</dc:creator>
  <dc:description/>
  <dc:language>en-CA</dc:language>
  <cp:lastModifiedBy>srichma</cp:lastModifiedBy>
  <cp:lastPrinted>2001-02-26T10:07:00Z</cp:lastPrinted>
  <dcterms:modified xsi:type="dcterms:W3CDTF">2001-02-26T17:52:00Z</dcterms:modified>
  <cp:revision>27</cp:revision>
  <dc:subject/>
  <dc:title>enovate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expeditn 011</vt:lpwstr>
  </property>
</Properties>
</file>