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1. The Total Charge for service under hereunder for any month during the period _____through _______ shall be the product of (A), (B) and (C) below: </w:t>
      </w:r>
    </w:p>
    <w:p>
      <w:pPr>
        <w:pStyle w:val="Normal"/>
        <w:rPr/>
      </w:pPr>
      <w:r>
        <w:rPr/>
      </w:r>
    </w:p>
    <w:p>
      <w:pPr>
        <w:pStyle w:val="Normal"/>
        <w:numPr>
          <w:ilvl w:val="0"/>
          <w:numId w:val="2"/>
        </w:numPr>
        <w:rPr/>
      </w:pPr>
      <w:r>
        <w:rPr/>
        <w:t xml:space="preserve">The positive amount, if any, obtained by subtracting (i) from (ii) below: </w:t>
      </w:r>
    </w:p>
    <w:p>
      <w:pPr>
        <w:pStyle w:val="Normal"/>
        <w:rPr/>
      </w:pPr>
      <w:r>
        <w:rPr/>
      </w:r>
    </w:p>
    <w:p>
      <w:pPr>
        <w:pStyle w:val="Normal"/>
        <w:rPr/>
      </w:pPr>
      <w:r>
        <w:rPr/>
        <w:t xml:space="preserve">(i) the sum of (a) the first of month posted index price in </w:t>
      </w:r>
      <w:r>
        <w:rPr>
          <w:i/>
        </w:rPr>
        <w:t xml:space="preserve">Inside FERC Gas Market Report </w:t>
      </w:r>
      <w:r>
        <w:rPr/>
        <w:t>for the applicable month (“</w:t>
      </w:r>
      <w:r>
        <w:rPr>
          <w:i/>
        </w:rPr>
        <w:t xml:space="preserve">Inside FERC </w:t>
      </w:r>
      <w:r>
        <w:rPr/>
        <w:t>First of Month Index”), for Panhandle Eastern Pipeline Company, Texas, Oklahoma (Mainline) and (b) Northern’s charge for fuel and gas unaccounted for from Mids 8 – 16A to Mid 16 B, as provided in the applicable provisions of Northern’s FERC Gas Tariff (“Northern’s Tariff”).</w:t>
      </w:r>
    </w:p>
    <w:p>
      <w:pPr>
        <w:pStyle w:val="Normal"/>
        <w:rPr/>
      </w:pPr>
      <w:r>
        <w:rPr/>
      </w:r>
    </w:p>
    <w:p>
      <w:pPr>
        <w:pStyle w:val="Normal"/>
        <w:rPr/>
      </w:pPr>
      <w:r>
        <w:rPr/>
        <w:t xml:space="preserve">(ii) the </w:t>
      </w:r>
      <w:r>
        <w:rPr>
          <w:i/>
        </w:rPr>
        <w:t>Inside FERC</w:t>
      </w:r>
      <w:r>
        <w:rPr/>
        <w:t xml:space="preserve"> First of Month Index for Northern Natural Gas Company (Demarcation); </w:t>
      </w:r>
    </w:p>
    <w:p>
      <w:pPr>
        <w:pStyle w:val="Normal"/>
        <w:rPr/>
      </w:pPr>
      <w:r>
        <w:rPr/>
      </w:r>
    </w:p>
    <w:p>
      <w:pPr>
        <w:pStyle w:val="Normal"/>
        <w:numPr>
          <w:ilvl w:val="0"/>
          <w:numId w:val="2"/>
        </w:numPr>
        <w:rPr/>
      </w:pPr>
      <w:r>
        <w:rPr/>
        <w:t>The MDQ;</w:t>
      </w:r>
    </w:p>
    <w:p>
      <w:pPr>
        <w:pStyle w:val="Normal"/>
        <w:rPr/>
      </w:pPr>
      <w:r>
        <w:rPr/>
      </w:r>
    </w:p>
    <w:p>
      <w:pPr>
        <w:pStyle w:val="Normal"/>
        <w:rPr/>
      </w:pPr>
      <w:r>
        <w:rPr/>
        <w:t xml:space="preserve">(C) The number of days in the applicable month; </w:t>
      </w:r>
    </w:p>
    <w:p>
      <w:pPr>
        <w:pStyle w:val="Normal"/>
        <w:rPr/>
      </w:pPr>
      <w:r>
        <w:rPr/>
      </w:r>
    </w:p>
    <w:p>
      <w:pPr>
        <w:pStyle w:val="Normal"/>
        <w:rPr/>
      </w:pPr>
      <w:r>
        <w:rPr/>
        <w:t xml:space="preserve"> </w:t>
      </w:r>
      <w:r>
        <w:rPr/>
        <w:t>The above Total Charge is subject to the following conditions:</w:t>
      </w:r>
    </w:p>
    <w:p>
      <w:pPr>
        <w:pStyle w:val="Normal"/>
        <w:rPr/>
      </w:pPr>
      <w:r>
        <w:rPr/>
        <w:t xml:space="preserve">If the above calculation for any month yields an amount which is less than Northern’s variable fuel cost, then the following shall apply: </w:t>
      </w:r>
    </w:p>
    <w:p>
      <w:pPr>
        <w:pStyle w:val="Normal"/>
        <w:numPr>
          <w:ilvl w:val="0"/>
          <w:numId w:val="1"/>
        </w:numPr>
        <w:rPr/>
      </w:pPr>
      <w:r>
        <w:rPr/>
        <w:t xml:space="preserve"> </w:t>
      </w:r>
      <w:r>
        <w:rPr/>
        <w:t xml:space="preserve">Northern will not be required to provide transportation service hereunder during such month; </w:t>
      </w:r>
    </w:p>
    <w:p>
      <w:pPr>
        <w:pStyle w:val="Normal"/>
        <w:numPr>
          <w:ilvl w:val="0"/>
          <w:numId w:val="1"/>
        </w:numPr>
        <w:rPr/>
      </w:pPr>
      <w:r>
        <w:rPr/>
        <w:t xml:space="preserve"> </w:t>
      </w:r>
      <w:r>
        <w:rPr/>
        <w:t>Northern shall not have any financial or payment obligation to Shipper for such month; and</w:t>
      </w:r>
    </w:p>
    <w:p>
      <w:pPr>
        <w:pStyle w:val="Normal"/>
        <w:numPr>
          <w:ilvl w:val="0"/>
          <w:numId w:val="1"/>
        </w:numPr>
        <w:rPr/>
      </w:pPr>
      <w:r>
        <w:rPr/>
        <w:t xml:space="preserve"> </w:t>
      </w:r>
      <w:r>
        <w:rPr/>
        <w:t>If shipper receives transport service for one or more days at the beginning of the month, then Shipper shall pay to Northern the product of (i) the MDQ for the number of days the transportation services are provided and (ii) the sum of Northern’s variable fuel cost and Northern’s minimum commodity rate, as set forth in Northern’s Tariff.</w:t>
      </w:r>
    </w:p>
    <w:p>
      <w:pPr>
        <w:pStyle w:val="Normal"/>
        <w:rPr/>
      </w:pPr>
      <w:r>
        <w:rPr/>
      </w:r>
    </w:p>
    <w:p>
      <w:pPr>
        <w:pStyle w:val="Normal"/>
        <w:rPr/>
      </w:pPr>
      <w:r>
        <w:rPr/>
        <w:t xml:space="preserve">The above Total Charge shall be inclusive of all applicable surcharges.  Further, for any month, or portion thereof, during which transportation service is provided, Shipper shall pay, in addition to the above Total Charge, any applicable charge for fuel use and gas unaccounted for, as provided in Northern’s Tariff.  Northern reserves the right to allocate the Total Charge between the demand and commodity components depending on actual volumes delivered, inclusive of surcharges, such that such Total Charge shall remain unaffected by such allocation.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rPr/>
    </w:lvl>
  </w:abstractNum>
  <w:abstractNum w:abstractNumId="2">
    <w:lvl w:ilvl="0">
      <w:start w:val="1"/>
      <w:numFmt w:val="upperLetter"/>
      <w:lvlText w:val="(%1)"/>
      <w:lvlJc w:val="start"/>
      <w:pPr>
        <w:tabs>
          <w:tab w:val="num" w:pos="390"/>
        </w:tabs>
        <w:ind w:start="390" w:hanging="39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2000-12-15T14:00:00Z</dcterms:created>
  <dc:creator>tpryor</dc:creator>
  <dc:description/>
  <dc:language>en-CA</dc:language>
  <cp:lastModifiedBy>tpryor</cp:lastModifiedBy>
  <cp:lastPrinted>2000-12-15T16:20:00Z</cp:lastPrinted>
  <dcterms:modified xsi:type="dcterms:W3CDTF">2000-12-15T21:08:00Z</dcterms:modified>
  <cp:revision>3</cp:revision>
  <dc:subject/>
  <dc:title>1</dc:title>
</cp:coreProperties>
</file>