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8, 1999</w:t>
      </w:r>
    </w:p>
    <w:p>
      <w:pPr>
        <w:pStyle w:val="Normal"/>
        <w:tabs>
          <w:tab w:val="clear" w:pos="720"/>
          <w:tab w:val="left" w:pos="2160" w:leader="none"/>
          <w:tab w:val="left" w:pos="6480" w:leader="none"/>
        </w:tabs>
        <w:ind w:start="-720" w:end="0"/>
        <w:rPr>
          <w:sz w:val="22"/>
        </w:rPr>
      </w:pPr>
      <w:r>
        <w:rPr>
          <w:sz w:val="22"/>
        </w:rPr>
        <w:t>To:</w:t>
        <w:tab/>
        <w:t>Onconto Falls Tissue, Inc. ("Counterparty")</w:t>
      </w:r>
    </w:p>
    <w:p>
      <w:pPr>
        <w:pStyle w:val="Normal"/>
        <w:tabs>
          <w:tab w:val="clear" w:pos="720"/>
          <w:tab w:val="left" w:pos="2160" w:leader="none"/>
          <w:tab w:val="left" w:pos="6480" w:leader="none"/>
        </w:tabs>
        <w:ind w:start="-720" w:end="0"/>
        <w:rPr>
          <w:sz w:val="22"/>
        </w:rPr>
      </w:pPr>
      <w:r>
        <w:rPr>
          <w:sz w:val="22"/>
        </w:rPr>
        <w:t>Attention:</w:t>
        <w:tab/>
        <w:t>Ronald Van Den Heuvel</w:t>
      </w:r>
    </w:p>
    <w:p>
      <w:pPr>
        <w:pStyle w:val="Normal"/>
        <w:tabs>
          <w:tab w:val="clear" w:pos="720"/>
          <w:tab w:val="left" w:pos="2160" w:leader="none"/>
          <w:tab w:val="left" w:pos="6480" w:leader="none"/>
        </w:tabs>
        <w:ind w:start="-720" w:end="0"/>
        <w:rPr>
          <w:sz w:val="22"/>
        </w:rPr>
      </w:pPr>
      <w:r>
        <w:rPr>
          <w:sz w:val="22"/>
        </w:rPr>
        <w:t>Fax No.:</w:t>
        <w:tab/>
        <w:t>(920) 983-8387</w:t>
      </w:r>
    </w:p>
    <w:p>
      <w:pPr>
        <w:pStyle w:val="Normal"/>
        <w:tabs>
          <w:tab w:val="clear" w:pos="720"/>
          <w:tab w:val="left" w:pos="2160" w:leader="none"/>
          <w:tab w:val="left" w:pos="6480" w:leader="none"/>
        </w:tabs>
        <w:ind w:start="-720" w:end="0"/>
        <w:rPr>
          <w:sz w:val="22"/>
        </w:rPr>
      </w:pPr>
      <w:r>
        <w:rPr>
          <w:sz w:val="22"/>
        </w:rPr>
        <w:t>From:</w:t>
        <w:tab/>
        <w:t>Enron North America Corp. (“ENA”)</w:t>
      </w:r>
    </w:p>
    <w:p>
      <w:pPr>
        <w:pStyle w:val="Normal"/>
        <w:tabs>
          <w:tab w:val="clear" w:pos="720"/>
          <w:tab w:val="left" w:pos="2160" w:leader="none"/>
          <w:tab w:val="left" w:pos="6480" w:leader="none"/>
        </w:tabs>
        <w:ind w:start="-720" w:end="0"/>
        <w:rPr>
          <w:sz w:val="22"/>
        </w:rPr>
      </w:pPr>
      <w:r>
        <w:rPr>
          <w:sz w:val="22"/>
        </w:rPr>
        <w:t>Re:</w:t>
        <w:tab/>
        <w:t>Swaption ENA Deal No. N55801.2</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pursuant to a telephone conversation between Ronald Van Den Heuvel and Michael Moulton on the December 8, 1999 specified below (the "Transaction").  This letter constitutes a "Confirmation" as referred to in the ISDA Master Agreement specified below. </w:t>
      </w:r>
    </w:p>
    <w:p>
      <w:pPr>
        <w:pStyle w:val="BodyTextIndent"/>
        <w:rPr>
          <w:sz w:val="22"/>
        </w:rPr>
      </w:pPr>
      <w:r>
        <w:rPr>
          <w:sz w:val="22"/>
        </w:rPr>
      </w:r>
    </w:p>
    <w:p>
      <w:pPr>
        <w:pStyle w:val="BodyTextIndent"/>
        <w:rPr>
          <w:sz w:val="22"/>
        </w:rPr>
      </w:pPr>
      <w:r>
        <w:rPr>
          <w:sz w:val="22"/>
        </w:rPr>
        <w:tab/>
        <w:t xml:space="preserve">1.  This Confirmation supplements, forms part of, and is subject to an ISDA Master Agreement,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u w:val="single"/>
        </w:rPr>
      </w:pPr>
      <w:r>
        <w:rPr>
          <w:sz w:val="22"/>
          <w:u w:val="single"/>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u w:val="single"/>
        </w:rPr>
      </w:pPr>
      <w:r>
        <w:rPr>
          <w:sz w:val="22"/>
          <w:u w:val="single"/>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December 8, 1999</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Option Style:</w:t>
        <w:tab/>
        <w:tab/>
        <w:t>American</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Option Type:</w:t>
        <w:tab/>
        <w:tab/>
        <w:t>Swaption</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Seller:</w:t>
        <w:tab/>
        <w:tab/>
        <w:t>Counterparty</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Buyer:</w:t>
        <w:tab/>
        <w:tab/>
        <w:t>ENA</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r>
      <w:r>
        <w:rPr>
          <w:strike/>
          <w:sz w:val="22"/>
          <w:vertAlign w:val="superscript"/>
        </w:rPr>
        <w:t>1</w:t>
      </w:r>
      <w:r>
        <w:rPr>
          <w:strike/>
          <w:sz w:val="22"/>
        </w:rPr>
        <w:t>Total Premium:</w:t>
        <w:tab/>
        <w:tab/>
        <w:t>&lt;&lt;PremiumAmt&gt;&gt;</w:t>
      </w:r>
    </w:p>
    <w:p>
      <w:pPr>
        <w:pStyle w:val="BodyTextIndent"/>
        <w:tabs>
          <w:tab w:val="left" w:pos="90" w:leader="none"/>
          <w:tab w:val="left" w:pos="2160" w:leader="none"/>
          <w:tab w:val="left" w:pos="4140" w:leader="none"/>
          <w:tab w:val="left" w:pos="6480" w:leader="none"/>
        </w:tabs>
        <w:ind w:hanging="720" w:start="0" w:end="-630"/>
        <w:rPr>
          <w:strike/>
          <w:sz w:val="22"/>
        </w:rPr>
      </w:pPr>
      <w:r>
        <w:rPr>
          <w:strike/>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tab/>
      </w:r>
      <w:r>
        <w:rPr>
          <w:strike/>
          <w:sz w:val="22"/>
          <w:vertAlign w:val="superscript"/>
        </w:rPr>
        <w:t>1</w:t>
      </w:r>
      <w:r>
        <w:rPr>
          <w:strike/>
          <w:sz w:val="22"/>
        </w:rPr>
        <w:t>Premium Payment Date(s):</w:t>
        <w:tab/>
        <w:t>&lt;&lt; (DATE) [, subject to adjustment in accordance with the [Following/Modified Following/Nearest/Preceding] Business Day Convention]&gt;&gt;</w:t>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pPr>
      <w:r>
        <w:rPr>
          <w:sz w:val="22"/>
        </w:rPr>
        <w:tab/>
      </w:r>
      <w:r>
        <w:rPr>
          <w:strike/>
          <w:sz w:val="22"/>
        </w:rPr>
        <w:t>Physical/Contract Settlement:</w:t>
        <w:tab/>
        <w:t>&lt;&lt;Applicable/Inapplicable&gt;&gt;</w:t>
      </w:r>
    </w:p>
    <w:p>
      <w:pPr>
        <w:pStyle w:val="BodyTextIndent"/>
        <w:tabs>
          <w:tab w:val="left" w:pos="9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pPr>
      <w:r>
        <w:rPr>
          <w:sz w:val="22"/>
        </w:rPr>
        <w:tab/>
      </w:r>
      <w:r>
        <w:rPr>
          <w:strike/>
          <w:sz w:val="22"/>
        </w:rPr>
        <w:t>Cash Settlement Terms:</w:t>
      </w:r>
    </w:p>
    <w:p>
      <w:pPr>
        <w:pStyle w:val="BodyTextIndent"/>
        <w:tabs>
          <w:tab w:val="left" w:pos="9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Cash Settlement:</w:t>
        <w:tab/>
        <w:t>&lt;&lt;Applicable/Inapplicable&gt;&gt;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Settlement Date:</w:t>
        <w:tab/>
        <w:t>[___Business Days following the Exercise Date]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Cash Settlement Amount:</w:t>
        <w:tab/>
        <w:t>[Specify means for determination]</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pPr>
      <w:r>
        <w:rPr>
          <w:sz w:val="22"/>
        </w:rPr>
        <w:tab/>
      </w: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left" w:pos="90" w:leader="none"/>
          <w:tab w:val="left" w:pos="810" w:leader="none"/>
          <w:tab w:val="left" w:pos="2160" w:leader="none"/>
          <w:tab w:val="left" w:pos="4140" w:leader="none"/>
          <w:tab w:val="left" w:pos="6480" w:leader="none"/>
        </w:tabs>
        <w:ind w:hanging="4860" w:start="4140" w:end="-630"/>
        <w:rPr>
          <w:sz w:val="22"/>
        </w:rPr>
      </w:pPr>
      <w:r>
        <w:rPr>
          <w:sz w:val="22"/>
        </w:rPr>
        <w:tab/>
        <w:tab/>
        <w:t>Exercise Period:</w:t>
        <w:tab/>
        <w:t>From and including the Trade Date to and including February 29, 2000 between 8:00 a.m. and 5:00 p.m. (local time in Houston, Texas).</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vertAlign w:val="superscript"/>
        </w:rPr>
        <w:tab/>
        <w:tab/>
      </w:r>
      <w:r>
        <w:rPr>
          <w:sz w:val="22"/>
        </w:rPr>
        <w:t>Expiration Date:</w:t>
        <w:tab/>
        <w:t>February 29, 2000</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Automatic Exercise:</w:t>
        <w:tab/>
        <w:t>Inapplicable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Written Confirmation:</w:t>
        <w:tab/>
        <w:t>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 xml:space="preserve">Seller's telephone, telex or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 xml:space="preserve">facsimile number for purposes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r>
      <w:r>
        <w:rPr>
          <w:strike/>
          <w:sz w:val="22"/>
        </w:rPr>
        <w:t>of giving notice: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trike/>
          <w:sz w:val="22"/>
        </w:rPr>
      </w:pPr>
      <w:r>
        <w:rPr>
          <w:strike/>
          <w:sz w:val="22"/>
        </w:rPr>
      </w:r>
    </w:p>
    <w:p>
      <w:pPr>
        <w:pStyle w:val="BodyTextIndent"/>
        <w:numPr>
          <w:ilvl w:val="0"/>
          <w:numId w:val="2"/>
        </w:numPr>
        <w:tabs>
          <w:tab w:val="left" w:pos="90" w:leader="none"/>
          <w:tab w:val="left" w:pos="810" w:leader="none"/>
          <w:tab w:val="left" w:pos="2160" w:leader="none"/>
          <w:tab w:val="left" w:pos="4140" w:leader="none"/>
          <w:tab w:val="left" w:pos="6480" w:leader="none"/>
        </w:tabs>
        <w:ind w:hanging="375" w:start="465" w:end="-630"/>
        <w:jc w:val="start"/>
        <w:rPr>
          <w:b/>
          <w:sz w:val="22"/>
        </w:rPr>
      </w:pPr>
      <w:r>
        <w:rPr>
          <w:b/>
          <w:sz w:val="22"/>
        </w:rPr>
        <w:t>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p>
      <w:pPr>
        <w:pStyle w:val="BodyTextIndent"/>
        <w:tabs>
          <w:tab w:val="left" w:pos="90" w:leader="none"/>
          <w:tab w:val="left" w:pos="810" w:leader="none"/>
          <w:tab w:val="left" w:pos="2160" w:leader="none"/>
          <w:tab w:val="left" w:pos="4140" w:leader="none"/>
          <w:tab w:val="left" w:pos="6480" w:leader="none"/>
        </w:tabs>
        <w:ind w:start="0" w:end="-630"/>
        <w:jc w:val="start"/>
        <w:rPr/>
      </w:pPr>
      <w:r>
        <w:rPr>
          <w:sz w:val="22"/>
          <w:u w:val="single"/>
        </w:rPr>
        <w:t>Total Notional Quantity</w:t>
      </w:r>
      <w:r>
        <w:rPr>
          <w:sz w:val="22"/>
        </w:rPr>
        <w:t>:</w:t>
        <w:tab/>
        <w:t>15,000 Short Tons</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pPr>
      <w:r>
        <w:rPr>
          <w:sz w:val="22"/>
        </w:rPr>
        <w:tab/>
        <w:t>per Calculation Period:</w:t>
      </w:r>
      <w:r>
        <w:rPr>
          <w:sz w:val="22"/>
          <w:vertAlign w:val="superscript"/>
        </w:rPr>
        <w:t>5</w:t>
        <w:tab/>
      </w:r>
      <w:r>
        <w:rPr>
          <w:sz w:val="22"/>
        </w:rPr>
        <w:t xml:space="preserve"> </w:t>
        <w:tab/>
        <w:t>1,250 Short Tons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Sorted Office Paper (37)</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November 1, 1999</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Termination Date:</w:t>
        <w:tab/>
        <w:tab/>
        <w:t>October 31, 2000</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5040" w:start="4140" w:end="-630"/>
        <w:rPr>
          <w:sz w:val="22"/>
        </w:rPr>
      </w:pPr>
      <w:r>
        <w:rPr>
          <w:sz w:val="22"/>
        </w:rPr>
        <w:tab/>
        <w:t>Calculation Periods:</w:t>
        <w:tab/>
        <w:tab/>
        <w:t>From and including November 1, 1999 to and including February 29, 2000 with respect to the first Calculation Period</w:t>
      </w:r>
    </w:p>
    <w:p>
      <w:pPr>
        <w:pStyle w:val="BodyTextIndent"/>
        <w:tabs>
          <w:tab w:val="clear" w:pos="90"/>
          <w:tab w:val="left" w:pos="0" w:leader="none"/>
          <w:tab w:val="left" w:pos="2160" w:leader="none"/>
          <w:tab w:val="left" w:pos="4140" w:leader="none"/>
          <w:tab w:val="left" w:pos="6480" w:leader="none"/>
        </w:tabs>
        <w:ind w:hanging="5040" w:start="4140" w:end="-630"/>
        <w:rPr>
          <w:sz w:val="22"/>
        </w:rPr>
      </w:pPr>
      <w:r>
        <w:rPr>
          <w:sz w:val="22"/>
        </w:rPr>
        <w:tab/>
        <w:tab/>
        <w:tab/>
      </w:r>
    </w:p>
    <w:p>
      <w:pPr>
        <w:pStyle w:val="BodyTextIndent"/>
        <w:tabs>
          <w:tab w:val="clear" w:pos="90"/>
          <w:tab w:val="left" w:pos="0" w:leader="none"/>
          <w:tab w:val="left" w:pos="2160" w:leader="none"/>
          <w:tab w:val="left" w:pos="4140" w:leader="none"/>
          <w:tab w:val="left" w:pos="6480" w:leader="none"/>
        </w:tabs>
        <w:ind w:hanging="5040" w:start="4140" w:end="-630"/>
        <w:rPr>
          <w:sz w:val="22"/>
        </w:rPr>
      </w:pPr>
      <w:r>
        <w:rPr>
          <w:sz w:val="22"/>
        </w:rPr>
        <w:tab/>
        <w:tab/>
        <w:tab/>
      </w:r>
      <w:r>
        <w:rPr>
          <w:color w:val="000000"/>
          <w:sz w:val="22"/>
        </w:rPr>
        <w:t xml:space="preserve">Monthly periods, </w:t>
      </w:r>
      <w:r>
        <w:rPr>
          <w:strike/>
          <w:color w:val="0000FF"/>
          <w:sz w:val="22"/>
        </w:rPr>
        <w:t>with the first Calculation Period</w:t>
      </w:r>
      <w:r>
        <w:rPr>
          <w:strike/>
          <w:sz w:val="22"/>
        </w:rPr>
        <w:t xml:space="preserve"> </w:t>
      </w:r>
      <w:r>
        <w:rPr>
          <w:color w:val="000000"/>
          <w:sz w:val="22"/>
        </w:rPr>
        <w:t>commencing on March 1, 2000 and the final Calculation Period ending on October 31, 2000, with respect to the remaining Calculation Periods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rPr/>
      </w:pPr>
      <w:r>
        <w:rPr>
          <w:sz w:val="22"/>
        </w:rPr>
        <w:tab/>
        <w:t>Payment Date(s):</w:t>
        <w:tab/>
        <w:tab/>
        <w:t>The fifth (5</w:t>
      </w:r>
      <w:r>
        <w:rPr>
          <w:sz w:val="22"/>
          <w:vertAlign w:val="superscript"/>
        </w:rPr>
        <w:t>th</w:t>
      </w:r>
      <w:r>
        <w:rPr>
          <w:sz w:val="22"/>
        </w:rPr>
        <w:t>) Business Day following the last Pricing Date for the applicable Calculation Period</w:t>
      </w:r>
    </w:p>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U.S. $ 90.00 per Short Ton</w:t>
      </w:r>
    </w:p>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Payer: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w:t>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r>
      <w:r>
        <w:rPr>
          <w:strike/>
          <w:sz w:val="22"/>
        </w:rPr>
        <w:t>Commodity Reference Price:</w:t>
      </w:r>
      <w:r>
        <w:rPr>
          <w:sz w:val="22"/>
        </w:rPr>
        <w:tab/>
        <w:t xml:space="preserve">With respect to the first Calculation Period, the Floating Price shall be an amount equal to the average of the prices for each calendar month within such Calculation Period per Short Ton of Sorted Office Paper (37), stated in U.S. Dollars, published under the headings "Table 2: Recovered Paper Monthly Price Summary: U.S. Recovered Paper: Dollars per Short Ton: High-Grade Deinking: Sort. Office Paper (37)" in the issue of the </w:t>
      </w:r>
      <w:r>
        <w:rPr>
          <w:sz w:val="22"/>
          <w:u w:val="single"/>
        </w:rPr>
        <w:t>Recovered Materials Monitor</w:t>
      </w:r>
      <w:r>
        <w:rPr>
          <w:sz w:val="22"/>
        </w:rPr>
        <w:t xml:space="preserve"> that reports prices effective on that Pricing Date for that calendar month.</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4140" w:end="0"/>
        <w:rPr/>
      </w:pPr>
      <w:r>
        <w:rPr>
          <w:sz w:val="22"/>
        </w:rPr>
        <w:tab/>
        <w:t xml:space="preserve">With respect to the remaining Calculation Periods, the Floating Price shall be the price per Short Ton of Sorted Office Paper (37), stated in U.S. Dollars, published under the headings "Table 2: Recovered Paper Monthly Price Summary: U.S. Recovered Paper: Dollars per Short Ton: High-Grade Deinking: Sort. Office Paper (37)" in the issue of the </w:t>
      </w:r>
      <w:r>
        <w:rPr>
          <w:sz w:val="22"/>
          <w:u w:val="single"/>
        </w:rPr>
        <w:t>Recovered Materials Monitor</w:t>
      </w:r>
      <w:r>
        <w:rPr>
          <w:sz w:val="22"/>
        </w:rPr>
        <w:t xml:space="preserve"> that reports prices effective on that Pricing Date for that Calculation Period.</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720" w:start="0" w:end="0"/>
        <w:rPr/>
      </w:pPr>
      <w:r>
        <w:rPr>
          <w:sz w:val="22"/>
        </w:rPr>
        <w:tab/>
        <w:tab/>
      </w:r>
      <w:r>
        <w:rPr>
          <w:strike/>
          <w:sz w:val="22"/>
        </w:rPr>
        <w:t>Specified Price:</w:t>
        <w:tab/>
        <w:tab/>
        <w:t>&lt;&lt;PriceFormula&gt;&gt;</w:t>
      </w:r>
    </w:p>
    <w:p>
      <w:pPr>
        <w:pStyle w:val="BodyTextIndent"/>
        <w:tabs>
          <w:tab w:val="left" w:pos="90" w:leader="none"/>
          <w:tab w:val="left" w:pos="810" w:leader="none"/>
          <w:tab w:val="left" w:pos="2160" w:leader="none"/>
          <w:tab w:val="left" w:pos="4140" w:leader="none"/>
          <w:tab w:val="left" w:pos="6480" w:leader="none"/>
        </w:tabs>
        <w:ind w:hanging="720" w:start="0" w:end="0"/>
        <w:rPr/>
      </w:pPr>
      <w:r>
        <w:rPr>
          <w:sz w:val="22"/>
        </w:rPr>
        <w:tab/>
        <w:tab/>
      </w:r>
      <w:r>
        <w:rPr>
          <w:strike/>
          <w:sz w:val="22"/>
        </w:rPr>
        <w:t>[Delivery Date:]</w:t>
        <w:tab/>
        <w:tab/>
        <w:t>&lt;&lt;DeliveryDateForUnderlyingCommodity&gt;&gt;</w:t>
      </w:r>
    </w:p>
    <w:p>
      <w:pPr>
        <w:pStyle w:val="BodyTextIndent"/>
        <w:tabs>
          <w:tab w:val="left" w:pos="90" w:leader="none"/>
          <w:tab w:val="left" w:pos="810" w:leader="none"/>
          <w:tab w:val="left" w:pos="2160" w:leader="none"/>
          <w:tab w:val="left" w:pos="4140" w:leader="none"/>
          <w:tab w:val="left" w:pos="6480" w:leader="none"/>
        </w:tabs>
        <w:ind w:hanging="720" w:start="0" w:end="0"/>
        <w:rPr>
          <w:strike/>
          <w:sz w:val="22"/>
        </w:rPr>
      </w:pPr>
      <w:r>
        <w:rPr>
          <w:strike/>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0"/>
        <w:rPr/>
      </w:pPr>
      <w:r>
        <w:rPr>
          <w:sz w:val="22"/>
        </w:rPr>
        <w:tab/>
        <w:t>Pricing Date(s):</w:t>
        <w:tab/>
        <w:tab/>
        <w:t xml:space="preserve">Date of </w:t>
      </w:r>
      <w:r>
        <w:rPr>
          <w:sz w:val="22"/>
          <w:u w:val="single"/>
        </w:rPr>
        <w:t>Recovered Materials Monitor</w:t>
      </w:r>
      <w:r>
        <w:rPr>
          <w:sz w:val="22"/>
        </w:rPr>
        <w:t>, or any successor publication, published by Resource Information Systems, Inc. or its successor (such publication, “</w:t>
      </w:r>
      <w:r>
        <w:rPr>
          <w:sz w:val="22"/>
          <w:u w:val="single"/>
        </w:rPr>
        <w:t>Recovered Materials Monitor</w:t>
      </w:r>
      <w:r>
        <w:rPr>
          <w:sz w:val="22"/>
        </w:rPr>
        <w:t>”) for the applicable Calculation Period</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r>
    </w:p>
    <w:p>
      <w:pPr>
        <w:pStyle w:val="BodyTextIndent"/>
        <w:tabs>
          <w:tab w:val="left" w:pos="90" w:leader="none"/>
          <w:tab w:val="left" w:pos="2160" w:leader="none"/>
          <w:tab w:val="left" w:pos="4140" w:leader="none"/>
          <w:tab w:val="left" w:pos="6480" w:leader="none"/>
        </w:tabs>
        <w:ind w:hanging="720" w:start="0" w:end="0"/>
        <w:rPr/>
      </w:pPr>
      <w:r>
        <w:rPr>
          <w:sz w:val="22"/>
        </w:rPr>
        <w:tab/>
      </w:r>
      <w:r>
        <w:rPr>
          <w:strike/>
          <w:sz w:val="22"/>
        </w:rPr>
        <w:t>&lt;&lt;AlternatePriceLit&gt;&gt;</w:t>
        <w:tab/>
        <w:t xml:space="preserve"> </w:t>
        <w:tab/>
        <w:t>&lt;&lt;AlternatePriceLit&gt;&gt;</w:t>
      </w:r>
    </w:p>
    <w:p>
      <w:pPr>
        <w:pStyle w:val="BodyTextIndent"/>
        <w:tabs>
          <w:tab w:val="left" w:pos="90" w:leader="none"/>
          <w:tab w:val="left" w:pos="2160" w:leader="none"/>
          <w:tab w:val="left" w:pos="4140" w:leader="none"/>
          <w:tab w:val="left" w:pos="6480" w:leader="none"/>
        </w:tabs>
        <w:ind w:hanging="720" w:start="0" w:end="0"/>
        <w:rPr>
          <w:strike/>
          <w:sz w:val="22"/>
        </w:rPr>
      </w:pPr>
      <w:r>
        <w:rPr>
          <w:strike/>
          <w:sz w:val="22"/>
        </w:rPr>
      </w:r>
    </w:p>
    <w:p>
      <w:pPr>
        <w:pStyle w:val="BodyTextIndent"/>
        <w:tabs>
          <w:tab w:val="clear" w:pos="90"/>
          <w:tab w:val="left" w:pos="0" w:leader="none"/>
          <w:tab w:val="left" w:pos="2160" w:leader="none"/>
          <w:tab w:val="left" w:pos="4140" w:leader="none"/>
          <w:tab w:val="left" w:pos="6480" w:leader="none"/>
        </w:tabs>
        <w:ind w:hanging="4860" w:start="4140" w:end="0"/>
        <w:rPr/>
      </w:pPr>
      <w:r>
        <w:rPr>
          <w:sz w:val="22"/>
        </w:rPr>
        <w:tab/>
      </w:r>
      <w:r>
        <w:rPr>
          <w:sz w:val="22"/>
          <w:u w:val="single"/>
        </w:rPr>
        <w:t>Fallback Reference Price:</w:t>
      </w:r>
      <w:r>
        <w:rPr>
          <w:sz w:val="22"/>
        </w:rPr>
        <w:tab/>
        <w:t xml:space="preserve">The Fallback Reference Price for any Calculation Period shall be an amount equal to the sum of (a) the average price per Short Ton of Sorted Office Paper (37), stated in U.S. Dollars, delivered in [To be agreed], published under the heading: “Price Watch: Waste Paper: Grade: Sorted Office Paper (37)” in the issue of </w:t>
      </w:r>
      <w:r>
        <w:rPr>
          <w:sz w:val="22"/>
          <w:u w:val="single"/>
        </w:rPr>
        <w:t>Pulp &amp; Paper Week</w:t>
      </w:r>
      <w:r>
        <w:rPr>
          <w:sz w:val="22"/>
        </w:rPr>
        <w:t xml:space="preserve"> (or its successor publication, as published by Miller Freeman Inc., or its successor) that reports prices effective for such Calculation Period and (b) an amount (which may be negative) equal to the difference between (i) the average of the prices per Short Ton of Sorted Office Paper (37) as determined in accordance with the definition of ‘Floating Price’ above for each month in which such price is available for the twelve calendar months immediately preceding the relevant Calculation Period and (ii) the average of the prices per Short Ton of Sorted Office Paper (37) as determined in accordance with subsection (a) above for each month in which such price is available for the twelve calendar months immediately preceding the relevant Calculation Period.</w:t>
      </w:r>
    </w:p>
    <w:p>
      <w:pPr>
        <w:pStyle w:val="BodyTextIndent"/>
        <w:tabs>
          <w:tab w:val="clear" w:pos="90"/>
          <w:tab w:val="left" w:pos="0" w:leader="none"/>
          <w:tab w:val="left" w:pos="2160" w:leader="none"/>
          <w:tab w:val="left" w:pos="4140" w:leader="none"/>
          <w:tab w:val="left" w:pos="6480" w:leader="none"/>
        </w:tabs>
        <w:ind w:start="0" w:end="0"/>
        <w:rPr>
          <w:sz w:val="22"/>
        </w:rPr>
      </w:pPr>
      <w:r>
        <w:rPr>
          <w:sz w:val="22"/>
        </w:rPr>
      </w:r>
    </w:p>
    <w:p>
      <w:pPr>
        <w:pStyle w:val="BodyTextIndent"/>
        <w:tabs>
          <w:tab w:val="clear" w:pos="90"/>
          <w:tab w:val="left" w:pos="2160" w:leader="none"/>
          <w:tab w:val="left" w:pos="4140" w:leader="none"/>
          <w:tab w:val="left" w:pos="6480" w:leader="none"/>
        </w:tabs>
        <w:ind w:hanging="4860" w:start="4140" w:end="0"/>
        <w:rPr/>
      </w:pPr>
      <w:r>
        <w:rPr>
          <w:b/>
          <w:sz w:val="22"/>
          <w:u w:val="single"/>
        </w:rPr>
        <w:t>Additional Provisions:</w:t>
      </w:r>
      <w:r>
        <w:rPr>
          <w:sz w:val="22"/>
        </w:rPr>
        <w:tab/>
        <w:tab/>
        <w:t>ENA may only enter into this Transaction if on or before the Expiration Date (i) Counterparty and ENA shall execute an ISDA Master Agreement and ISDA Credit Support Annex (the “Master Agreement” and (ii) ENA must give notice to Counterparty, as provided in the provisions of the Confirmation for ENA Deal No. N55801.1, stating that ENA desires to enter into Deal No. N55801.1.</w:t>
      </w:r>
    </w:p>
    <w:p>
      <w:pPr>
        <w:pStyle w:val="BodyTextIndent"/>
        <w:tabs>
          <w:tab w:val="clear" w:pos="90"/>
          <w:tab w:val="left" w:pos="0" w:leader="none"/>
          <w:tab w:val="left" w:pos="2160" w:leader="none"/>
          <w:tab w:val="left" w:pos="4140" w:leader="none"/>
          <w:tab w:val="left" w:pos="6480" w:leader="none"/>
        </w:tabs>
        <w:ind w:start="0" w:end="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trike/>
          <w:sz w:val="22"/>
        </w:rPr>
      </w:pPr>
      <w:r>
        <w:rPr>
          <w:strike/>
          <w:sz w:val="22"/>
        </w:rPr>
        <w:t>&lt;Rounding&gt;</w:t>
      </w:r>
    </w:p>
    <w:p>
      <w:pPr>
        <w:pStyle w:val="BodyTextIndent"/>
        <w:tabs>
          <w:tab w:val="left" w:pos="90" w:leader="none"/>
          <w:tab w:val="left" w:pos="2160" w:leader="none"/>
          <w:tab w:val="left" w:pos="4320" w:leader="none"/>
          <w:tab w:val="left" w:pos="6480" w:leader="none"/>
        </w:tabs>
        <w:ind w:start="0" w:end="0"/>
        <w:rPr>
          <w:strike/>
          <w:sz w:val="22"/>
        </w:rPr>
      </w:pPr>
      <w:r>
        <w:rPr>
          <w:strike/>
          <w:sz w:val="22"/>
        </w:rPr>
      </w:r>
    </w:p>
    <w:p>
      <w:pPr>
        <w:pStyle w:val="BodyTextIndent"/>
        <w:tabs>
          <w:tab w:val="left" w:pos="90" w:leader="none"/>
          <w:tab w:val="left" w:pos="2160" w:leader="none"/>
          <w:tab w:val="left" w:pos="4320" w:leader="none"/>
          <w:tab w:val="left" w:pos="6480" w:leader="none"/>
        </w:tabs>
        <w:rPr>
          <w:sz w:val="22"/>
        </w:rPr>
      </w:pPr>
      <w:r>
        <w:rPr>
          <w:sz w:val="22"/>
        </w:rPr>
        <w:tab/>
      </w:r>
      <w:r>
        <w:rPr>
          <w:strike/>
          <w:sz w:val="22"/>
        </w:rPr>
        <w:t xml:space="preserve">3.  </w:t>
      </w:r>
      <w:r>
        <w:rPr>
          <w:b/>
          <w:strike/>
          <w:sz w:val="22"/>
        </w:rPr>
        <w:t>Account Details:</w:t>
      </w:r>
      <w:r>
        <w:rPr>
          <w:b/>
          <w:sz w:val="22"/>
        </w:rPr>
        <w:t xml:space="preserve">   We usually do not have this information on ISDA Confirms, I can add it if we need to.</w:t>
      </w:r>
    </w:p>
    <w:p>
      <w:pPr>
        <w:pStyle w:val="BodyTextIndent"/>
        <w:tabs>
          <w:tab w:val="left" w:pos="90" w:leader="none"/>
          <w:tab w:val="left" w:pos="720" w:leader="none"/>
          <w:tab w:val="left" w:pos="1260" w:leader="none"/>
          <w:tab w:val="left" w:pos="2160" w:leader="none"/>
          <w:tab w:val="left" w:pos="4320" w:leader="none"/>
          <w:tab w:val="left" w:pos="6480" w:leader="none"/>
        </w:tabs>
        <w:rPr>
          <w:sz w:val="22"/>
        </w:rPr>
      </w:pPr>
      <w:r>
        <w:rPr>
          <w:sz w:val="22"/>
        </w:rPr>
        <w:tab/>
        <w:tab/>
      </w:r>
      <w:r>
        <w:rPr>
          <w:strike/>
          <w:sz w:val="22"/>
        </w:rPr>
        <w:t>Payments to Party A:</w:t>
      </w:r>
    </w:p>
    <w:p>
      <w:pPr>
        <w:pStyle w:val="BodyTextIndent"/>
        <w:tabs>
          <w:tab w:val="clear" w:pos="2160"/>
          <w:tab w:val="left" w:pos="90" w:leader="none"/>
          <w:tab w:val="left" w:pos="810" w:leader="none"/>
          <w:tab w:val="left" w:pos="1530" w:leader="none"/>
          <w:tab w:val="left" w:pos="4320" w:leader="none"/>
          <w:tab w:val="left" w:pos="6480" w:leader="none"/>
        </w:tabs>
        <w:rPr/>
      </w:pPr>
      <w:r>
        <w:rPr>
          <w:sz w:val="22"/>
        </w:rPr>
        <w:tab/>
        <w:tab/>
        <w:tab/>
      </w:r>
      <w:r>
        <w:rPr>
          <w:strike/>
          <w:sz w:val="22"/>
        </w:rPr>
        <w:t>Account for payments:</w:t>
      </w:r>
    </w:p>
    <w:p>
      <w:pPr>
        <w:pStyle w:val="BodyTextIndent"/>
        <w:tabs>
          <w:tab w:val="left" w:pos="90" w:leader="none"/>
          <w:tab w:val="left" w:pos="720" w:leader="none"/>
          <w:tab w:val="left" w:pos="2160" w:leader="none"/>
          <w:tab w:val="left" w:pos="4320" w:leader="none"/>
          <w:tab w:val="left" w:pos="6480" w:leader="none"/>
        </w:tabs>
        <w:rPr/>
      </w:pPr>
      <w:r>
        <w:rPr>
          <w:sz w:val="22"/>
        </w:rPr>
        <w:tab/>
        <w:tab/>
      </w:r>
      <w:r>
        <w:rPr>
          <w:strike/>
          <w:sz w:val="22"/>
        </w:rPr>
        <w:t>Payments to Party B</w:t>
      </w:r>
      <w:r>
        <w:rPr>
          <w:sz w:val="22"/>
        </w:rPr>
        <w:t>:</w:t>
      </w:r>
    </w:p>
    <w:p>
      <w:pPr>
        <w:pStyle w:val="BodyTextIndent"/>
        <w:tabs>
          <w:tab w:val="clear" w:pos="2160"/>
          <w:tab w:val="left" w:pos="90" w:leader="none"/>
          <w:tab w:val="left" w:pos="810" w:leader="none"/>
          <w:tab w:val="left" w:pos="1530" w:leader="none"/>
          <w:tab w:val="left" w:pos="4320" w:leader="none"/>
          <w:tab w:val="left" w:pos="6480" w:leader="none"/>
        </w:tabs>
        <w:rPr/>
      </w:pPr>
      <w:r>
        <w:rPr>
          <w:sz w:val="22"/>
        </w:rPr>
        <w:tab/>
        <w:tab/>
        <w:tab/>
      </w:r>
      <w:r>
        <w:rPr>
          <w:strike/>
          <w:sz w:val="22"/>
        </w:rPr>
        <w:t>Account for payments:</w:t>
      </w:r>
    </w:p>
    <w:p>
      <w:pPr>
        <w:pStyle w:val="BodyTextIndent"/>
        <w:tabs>
          <w:tab w:val="left" w:pos="90" w:leader="none"/>
          <w:tab w:val="left" w:pos="2160" w:leader="none"/>
          <w:tab w:val="left" w:pos="4320" w:leader="none"/>
          <w:tab w:val="left" w:pos="6480" w:leader="none"/>
        </w:tabs>
        <w:rPr>
          <w:strike/>
          <w:sz w:val="22"/>
        </w:rPr>
      </w:pPr>
      <w:r>
        <w:rPr>
          <w:strike/>
          <w:sz w:val="22"/>
        </w:rPr>
      </w:r>
    </w:p>
    <w:p>
      <w:pPr>
        <w:pStyle w:val="BodyTextIndent"/>
        <w:tabs>
          <w:tab w:val="left" w:pos="90" w:leader="none"/>
          <w:tab w:val="left" w:pos="2160" w:leader="none"/>
          <w:tab w:val="left" w:pos="4320" w:leader="none"/>
          <w:tab w:val="left" w:pos="6480" w:leader="none"/>
        </w:tabs>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N55801.2</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Onconto Falls Tissue, Inc.</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/mnt/main-storage/datasets/enron-docs/doc/Onconto_Falls_N55801.2.doc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ISDAswaption                                                          </w:t>
    </w:r>
    <w:r>
      <w:rPr>
        <w:rFonts w:cs="Arial" w:ascii="Arial" w:hAnsi="Arial"/>
        <w:sz w:val="16"/>
      </w:rPr>
      <w:t xml:space="preserve">Deal No.N55801.2 </w:t>
    </w:r>
  </w:p>
  <w:p>
    <w:pPr>
      <w:pStyle w:val="Header"/>
      <w:jc w:val="end"/>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65"/>
        </w:tabs>
        <w:ind w:start="46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widowControl w:val="false"/>
      <w:numPr>
        <w:ilvl w:val="2"/>
        <w:numId w:val="1"/>
      </w:numPr>
      <w:jc w:val="center"/>
      <w:outlineLvl w:val="2"/>
    </w:pPr>
    <w:rPr>
      <w:sz w:val="22"/>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1999-12-09T18:04:00Z</dcterms:created>
  <dc:creator>wende warren</dc:creator>
  <dc:description/>
  <dc:language>en-CA</dc:language>
  <cp:lastModifiedBy>jcyprow</cp:lastModifiedBy>
  <cp:lastPrinted>1999-12-09T15:49:00Z</cp:lastPrinted>
  <dcterms:modified xsi:type="dcterms:W3CDTF">1999-12-10T17:01:00Z</dcterms:modified>
  <cp:revision>8</cp:revision>
  <dc:subject/>
  <dc:title> </dc:title>
</cp:coreProperties>
</file>