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ECT Canada and Counterparty represents and warrants to the other that (a) </w:t>
      </w:r>
      <w:r>
        <w:rPr>
          <w:rFonts w:cs="Arial Narrow" w:ascii="Arial Narrow" w:hAnsi="Arial Narrow"/>
          <w:sz w:val="18"/>
          <w:u w:val="single"/>
        </w:rPr>
        <w:t>Authority</w:t>
      </w:r>
      <w:r>
        <w:rPr>
          <w:rFonts w:cs="Arial Narrow" w:ascii="Arial Narrow" w:hAnsi="Arial Narrow"/>
          <w:sz w:val="18"/>
        </w:rPr>
        <w:t xml:space="preserve">  (i) the execution, delivery and performance of this Confirmation have been duly authorized by all necessary corporate or other organization action on its part and (ii) this Confirmation is its legally valid and binding obligation, enforceable against it in accordance with its terms; and (b) </w:t>
      </w:r>
      <w:r>
        <w:rPr>
          <w:rFonts w:cs="Arial Narrow" w:ascii="Arial Narrow" w:hAnsi="Arial Narrow"/>
          <w:sz w:val="18"/>
          <w:u w:val="single"/>
        </w:rPr>
        <w:t>Taxation</w:t>
      </w:r>
      <w:r>
        <w:rPr>
          <w:rFonts w:cs="Arial Narrow" w:ascii="Arial Narrow" w:hAnsi="Arial Narrow"/>
          <w:sz w:val="18"/>
        </w:rPr>
        <w:t xml:space="preserve"> it is not a non-resident of Canada for purposes of the </w:t>
      </w:r>
      <w:r>
        <w:rPr>
          <w:rFonts w:cs="Arial Narrow" w:ascii="Arial Narrow" w:hAnsi="Arial Narrow"/>
          <w:sz w:val="18"/>
          <w:u w:val="single"/>
        </w:rPr>
        <w:t>Income Tax Act</w:t>
      </w:r>
      <w:r>
        <w:rPr>
          <w:rFonts w:cs="Arial Narrow" w:ascii="Arial Narrow" w:hAnsi="Arial Narrow"/>
          <w:sz w:val="18"/>
        </w:rPr>
        <w:t xml:space="preserve"> </w:t>
      </w:r>
      <w:r>
        <w:rPr>
          <w:rFonts w:cs="Arial Narrow" w:ascii="Arial Narrow" w:hAnsi="Arial Narrow"/>
          <w:sz w:val="18"/>
          <w:u w:val="single"/>
        </w:rPr>
        <w:t>(Canada</w:t>
      </w:r>
      <w:r>
        <w:rPr>
          <w:rFonts w:cs="Arial Narrow" w:ascii="Arial Narrow" w:hAnsi="Arial Narrow"/>
          <w:sz w:val="18"/>
        </w:rPr>
        <w:t xml:space="preserve">); and (c) </w:t>
      </w:r>
      <w:r>
        <w:rPr>
          <w:rFonts w:cs="Arial Narrow" w:ascii="Arial Narrow" w:hAnsi="Arial Narrow"/>
          <w:sz w:val="18"/>
          <w:u w:val="single"/>
        </w:rPr>
        <w:t>Line of Business</w:t>
      </w:r>
      <w:r>
        <w:rPr>
          <w:rFonts w:cs="Arial Narrow" w:ascii="Arial Narrow" w:hAnsi="Arial Narrow"/>
          <w:sz w:val="18"/>
        </w:rPr>
        <w:t xml:space="preserve"> it is entering into this Confirmation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prior to noon (Central time)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xml:space="preserve">.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w:t>
      </w:r>
    </w:p>
    <w:p>
      <w:pPr>
        <w:pStyle w:val="Normal"/>
        <w:tabs>
          <w:tab w:val="clear" w:pos="720"/>
          <w:tab w:val="left" w:pos="810" w:leader="none"/>
          <w:tab w:val="left" w:pos="1170" w:leader="none"/>
        </w:tabs>
        <w:jc w:val="both"/>
        <w:rPr>
          <w:rFonts w:ascii="Arial Narrow" w:hAnsi="Arial Narrow" w:cs="Arial Narrow"/>
          <w:sz w:val="18"/>
        </w:rPr>
      </w:pPr>
      <w:r>
        <w:br w:type="column"/>
      </w:r>
      <w:r>
        <w:rPr>
          <w:rFonts w:cs="Arial Narrow" w:ascii="Arial Narrow" w:hAnsi="Arial Narrow"/>
          <w:sz w:val="18"/>
        </w:rPr>
        <w:t>any of its Affiliates under the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Province of Alberta and the Federal laws of Canada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79" w:right="979" w:gutter="0" w:header="720" w:top="776" w:footer="720" w:bottom="776"/>
          <w:pgNumType w:fmt="decimal"/>
          <w:cols w:num="2" w:space="708" w:equalWidth="true" w:sep="false"/>
          <w:formProt w:val="false"/>
          <w:titlePg/>
          <w:textDirection w:val="lrTb"/>
          <w:docGrid w:type="default" w:linePitch="360" w:charSpace="0"/>
        </w:sect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 Canada, in consultation with Counterparty, taking into account such information (including one or more dealer quotes) as it deems relevant.</w:t>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tab/>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ECT Canada):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b/>
          <w:sz w:val="18"/>
        </w:rPr>
        <w:t xml:space="preserve"> </w:t>
      </w:r>
      <w:r>
        <w:rPr>
          <w:rFonts w:cs="Arial Narrow" w:ascii="Arial Narrow" w:hAnsi="Arial Narrow"/>
          <w:b/>
          <w:sz w:val="18"/>
          <w:u w:val="single"/>
        </w:rPr>
        <w:t>Additional Definitions with Respect to Options, Collars and Swaptions</w:t>
      </w:r>
      <w:r>
        <w:rPr>
          <w:rFonts w:cs="Arial Narrow" w:ascii="Arial Narrow" w:hAnsi="Arial Narrow"/>
          <w:sz w:val="18"/>
        </w:rPr>
        <w:t>.  As used in this Annex: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type w:val="nextPage"/>
          <w:pgSz w:w="12240" w:h="15840"/>
          <w:pgMar w:left="936" w:right="936" w:gutter="0" w:header="576" w:top="632" w:footer="432" w:bottom="720"/>
          <w:pgNumType w:start="3"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6"/>
        </w:rPr>
      </w:pPr>
      <w:r>
        <w:rPr>
          <w:rFonts w:cs="Arial Narrow" w:ascii="Arial Narrow" w:hAnsi="Arial Narrow"/>
          <w:sz w:val="16"/>
        </w:rPr>
      </w:r>
    </w:p>
    <w:p>
      <w:pPr>
        <w:pStyle w:val="Normal"/>
        <w:jc w:val="end"/>
        <w:rPr>
          <w:sz w:val="16"/>
        </w:rPr>
      </w:pPr>
      <w:r>
        <w:rPr>
          <w:sz w:val="16"/>
        </w:rPr>
      </w:r>
    </w:p>
    <w:p>
      <w:pPr>
        <w:pStyle w:val="Normal"/>
        <w:jc w:val="end"/>
        <w:rPr>
          <w:sz w:val="16"/>
        </w:rPr>
      </w:pPr>
      <w:r>
        <w:rPr>
          <w:sz w:val="16"/>
        </w:rPr>
      </w:r>
    </w:p>
    <w:p>
      <w:pPr>
        <w:pStyle w:val="Normal"/>
        <w:jc w:val="end"/>
        <w:rPr>
          <w:sz w:val="16"/>
        </w:rPr>
      </w:pPr>
      <w:r>
        <w:rPr>
          <w:sz w:val="16"/>
        </w:rPr>
      </w:r>
    </w:p>
    <w:p>
      <w:pPr>
        <w:pStyle w:val="Normal"/>
        <w:jc w:val="end"/>
        <w:rPr>
          <w:sz w:val="16"/>
        </w:rPr>
      </w:pPr>
      <w:r>
        <w:rPr>
          <w:sz w:val="16"/>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sectPr>
      <w:headerReference w:type="default" r:id="rId10"/>
      <w:headerReference w:type="first" r:id="rId11"/>
      <w:footerReference w:type="default" r:id="rId12"/>
      <w:footerReference w:type="first" r:id="rId13"/>
      <w:type w:val="nextPage"/>
      <w:pgSz w:w="12240" w:h="15840"/>
      <w:pgMar w:left="936" w:right="936" w:gutter="0" w:header="288"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right" w:pos="8640" w:leader="none"/>
      </w:tabs>
      <w:jc w:val="center"/>
      <w:rPr/>
    </w:pPr>
    <w:r>
      <w:rPr/>
      <w:tab/>
    </w:r>
  </w:p>
  <w:p>
    <w:pPr>
      <w:pStyle w:val="Footer"/>
      <w:tabs>
        <w:tab w:val="clear" w:pos="4320"/>
        <w:tab w:val="center" w:pos="4860" w:leader="none"/>
        <w:tab w:val="right" w:pos="8640" w:leader="none"/>
      </w:tabs>
      <w:jc w:val="center"/>
      <w:rPr>
        <w:rStyle w:val="PageNumber"/>
        <w:sz w:val="16"/>
      </w:rPr>
    </w:pPr>
    <w:r>
      <w:rPr>
        <w:sz w:val="16"/>
      </w:rPr>
      <w:t>Page 2 of  3</w:t>
      <w:tab/>
    </w:r>
  </w:p>
  <w:p>
    <w:pPr>
      <w:pStyle w:val="Footer"/>
      <w:tabs>
        <w:tab w:val="clear" w:pos="4320"/>
        <w:tab w:val="center" w:pos="4860" w:leader="none"/>
        <w:tab w:val="right" w:pos="8640" w:leader="none"/>
      </w:tabs>
      <w:rPr/>
    </w:pPr>
    <w:r>
      <w:rPr>
        <w:rStyle w:val="PageNumber"/>
        <w:sz w:val="16"/>
      </w:rPr>
      <w:tab/>
      <w:t xml:space="preserve">           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r>
  </w:p>
  <w:p>
    <w:pPr>
      <w:pStyle w:val="Footer"/>
      <w:jc w:val="center"/>
      <w:rPr>
        <w:sz w:val="16"/>
      </w:rPr>
    </w:pPr>
    <w:r>
      <w:rPr>
        <w:sz w:val="16"/>
      </w:rPr>
      <w:t>Page 1 of  3</w:t>
    </w:r>
  </w:p>
  <w:p>
    <w:pPr>
      <w:pStyle w:val="Footer"/>
      <w:jc w:val="center"/>
      <w:rPr>
        <w:sz w:val="16"/>
      </w:rPr>
    </w:pPr>
    <w:r>
      <w:rPr>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right" w:pos="8640" w:leader="none"/>
      </w:tabs>
      <w:jc w:val="center"/>
      <w:rPr/>
    </w:pPr>
    <w:r>
      <w:rPr/>
      <w:tab/>
    </w:r>
  </w:p>
  <w:p>
    <w:pPr>
      <w:pStyle w:val="Footer"/>
      <w:tabs>
        <w:tab w:val="clear" w:pos="4320"/>
        <w:tab w:val="center" w:pos="4860" w:leader="none"/>
        <w:tab w:val="right" w:pos="8640" w:leader="none"/>
      </w:tabs>
      <w:jc w:val="center"/>
      <w:rPr>
        <w:sz w:val="16"/>
      </w:rPr>
    </w:pPr>
    <w:r>
      <w:rPr>
        <w:sz w:val="16"/>
      </w:rPr>
      <w:t>Page 2 of  3</w:t>
      <w:tab/>
    </w:r>
  </w:p>
  <w:p>
    <w:pPr>
      <w:pStyle w:val="Footer"/>
      <w:tabs>
        <w:tab w:val="clear" w:pos="4320"/>
        <w:tab w:val="center" w:pos="4860" w:leader="none"/>
        <w:tab w:val="right" w:pos="8640" w:leader="none"/>
      </w:tabs>
      <w:rPr/>
    </w:pPr>
    <w:r>
      <w:rPr>
        <w:rStyle w:val="PageNumber"/>
        <w:sz w:val="16"/>
      </w:rPr>
      <w:tab/>
      <w:t xml:space="preserve">           Annex A</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Page 3 of  3</w:t>
    </w:r>
  </w:p>
  <w:p>
    <w:pPr>
      <w:pStyle w:val="Footer"/>
      <w:jc w:val="center"/>
      <w:rPr>
        <w:sz w:val="16"/>
      </w:rPr>
    </w:pPr>
    <w:r>
      <w:rPr>
        <w:sz w:val="16"/>
      </w:rPr>
      <w:t>Annex 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right" w:pos="8640" w:leader="none"/>
      </w:tabs>
      <w:jc w:val="end"/>
      <w:rPr>
        <w:sz w:val="16"/>
      </w:rPr>
    </w:pPr>
    <w:r>
      <w:rPr>
        <w:sz w:val="16"/>
      </w:rPr>
      <w:t>1</w:t>
      <w:tab/>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8"/>
        <w:u w:val="single"/>
      </w:rPr>
    </w:pPr>
    <w:r>
      <w:rPr>
        <w:rFonts w:cs="Arial Narrow" w:ascii="Arial Narrow" w:hAnsi="Arial Narrow"/>
        <w:b/>
        <w:sz w:val="8"/>
        <w:u w:val="single"/>
      </w:rPr>
      <w:t>ECT Canada/Canadian Counterparty</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OR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[TO BE INSERTED (IF APPLICABLE) WITH THE</w:t>
    </w:r>
  </w:p>
  <w:p>
    <w:pPr>
      <w:pStyle w:val="Normal"/>
      <w:jc w:val="center"/>
      <w:rPr>
        <w:rFonts w:ascii="Arial Narrow" w:hAnsi="Arial Narrow" w:cs="Arial Narrow"/>
        <w:b/>
        <w:sz w:val="18"/>
      </w:rPr>
    </w:pPr>
    <w:r>
      <w:rPr>
        <w:rFonts w:cs="Arial Narrow" w:ascii="Arial Narrow" w:hAnsi="Arial Narrow"/>
        <w:b/>
        <w:sz w:val="18"/>
      </w:rPr>
      <w:t>ASSISTANCE OF ECT CANADA CREDIT AND LEGAL]</w:t>
    </w:r>
  </w:p>
  <w:p>
    <w:pPr>
      <w:pStyle w:val="Header"/>
      <w:rPr>
        <w:rFonts w:ascii="Arial Narrow" w:hAnsi="Arial Narrow" w:cs="Arial Narrow"/>
        <w:b/>
        <w:sz w:val="18"/>
      </w:rPr>
    </w:pPr>
    <w:r>
      <w:rPr>
        <w:rFonts w:cs="Arial Narrow" w:ascii="Arial Narrow" w:hAnsi="Arial Narrow"/>
        <w:b/>
        <w:sz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1999-07-07T18:10:00Z</dcterms:created>
  <dc:creator>Susan L. Wadle</dc:creator>
  <dc:description/>
  <dc:language>en-CA</dc:language>
  <cp:lastModifiedBy>tjones</cp:lastModifiedBy>
  <cp:lastPrinted>1999-07-16T11:08:00Z</cp:lastPrinted>
  <dcterms:modified xsi:type="dcterms:W3CDTF">1999-07-16T13:41:00Z</dcterms:modified>
  <cp:revision>3</cp:revision>
  <dc:subject/>
  <dc:title>Draft of 6.19.95</dc:title>
</cp:coreProperties>
</file>