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ind w:hanging="0" w:start="0"/>
        <w:jc w:val="center"/>
        <w:rPr>
          <w:b w:val="false"/>
        </w:rPr>
      </w:pPr>
      <w:r>
        <w:rPr/>
        <w:t>OLALEKAN “OLA” OLADEJI</w:t>
      </w:r>
    </w:p>
    <w:p>
      <w:pPr>
        <w:pStyle w:val="Footer"/>
        <w:widowControl/>
        <w:tabs>
          <w:tab w:val="clear" w:pos="4320"/>
          <w:tab w:val="clear" w:pos="8640"/>
        </w:tabs>
        <w:overflowPunct w:val="true"/>
        <w:autoSpaceDE w:val="true"/>
        <w:jc w:val="center"/>
        <w:textAlignment w:val="auto"/>
        <w:rPr>
          <w:bCs/>
          <w:sz w:val="22"/>
          <w:szCs w:val="24"/>
          <w:lang w:val="en-US"/>
        </w:rPr>
      </w:pPr>
      <w:r>
        <w:rPr>
          <w:bCs/>
          <w:sz w:val="22"/>
          <w:szCs w:val="24"/>
          <w:lang w:val="en-US"/>
        </w:rPr>
        <w:t>8155 Richmond Avenue, #918, Houston, TX 77063</w:t>
      </w:r>
    </w:p>
    <w:p>
      <w:pPr>
        <w:pStyle w:val="Footer"/>
        <w:widowControl/>
        <w:tabs>
          <w:tab w:val="clear" w:pos="4320"/>
          <w:tab w:val="clear" w:pos="8640"/>
        </w:tabs>
        <w:overflowPunct w:val="true"/>
        <w:autoSpaceDE w:val="true"/>
        <w:jc w:val="center"/>
        <w:textAlignment w:val="auto"/>
        <w:rPr>
          <w:bCs/>
          <w:szCs w:val="24"/>
          <w:lang w:val="en-US"/>
        </w:rPr>
      </w:pPr>
      <w:r>
        <w:rPr>
          <w:bCs/>
          <w:sz w:val="22"/>
          <w:szCs w:val="24"/>
          <w:lang w:val="en-US"/>
        </w:rPr>
        <w:t>(Tel) 713 – 345 8710, e-mail: olalekan.oladeji@enron.com</w:t>
      </w:r>
    </w:p>
    <w:p>
      <w:pPr>
        <w:pStyle w:val="Normal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  <w:sz w:val="28"/>
        </w:rPr>
        <w:t>Academic Qualifications</w:t>
      </w:r>
      <w:r>
        <w:rPr>
          <w:sz w:val="28"/>
        </w:rPr>
        <w:t>:</w:t>
        <w:tab/>
        <w:tab/>
      </w:r>
    </w:p>
    <w:p>
      <w:pPr>
        <w:pStyle w:val="Footer"/>
        <w:widowControl/>
        <w:tabs>
          <w:tab w:val="clear" w:pos="4320"/>
          <w:tab w:val="clear" w:pos="8640"/>
        </w:tabs>
        <w:overflowPunct w:val="true"/>
        <w:autoSpaceDE w:val="true"/>
        <w:textAlignment w:val="auto"/>
        <w:rPr>
          <w:szCs w:val="24"/>
          <w:lang w:val="en-US"/>
        </w:rPr>
      </w:pPr>
      <w:r>
        <w:rPr>
          <w:szCs w:val="24"/>
          <w:lang w:val="en-US"/>
        </w:rPr>
        <w:t>1998 – 1999</w:t>
        <w:tab/>
        <w:tab/>
        <w:t>London School of Economics</w:t>
        <w:tab/>
        <w:tab/>
        <w:tab/>
        <w:t xml:space="preserve">              London, England</w:t>
      </w:r>
    </w:p>
    <w:p>
      <w:pPr>
        <w:pStyle w:val="Normal"/>
        <w:ind w:firstLine="720" w:start="1440" w:end="0"/>
        <w:jc w:val="both"/>
        <w:rPr/>
      </w:pPr>
      <w:r>
        <w:rPr/>
        <w:t>MSc International Accounting and Finance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1995 – 1998</w:t>
        <w:tab/>
        <w:tab/>
        <w:t xml:space="preserve">South Bank University, London </w:t>
        <w:tab/>
        <w:tab/>
        <w:t xml:space="preserve">              London, England</w:t>
      </w:r>
    </w:p>
    <w:p>
      <w:pPr>
        <w:pStyle w:val="Normal"/>
        <w:ind w:firstLine="720" w:start="1440" w:end="0"/>
        <w:jc w:val="both"/>
        <w:rPr/>
      </w:pPr>
      <w:r>
        <w:rPr/>
        <w:t>BA (Summa Cum Laude) Business Studies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Academic Award</w:t>
      </w:r>
      <w:r>
        <w:rPr/>
        <w:tab/>
        <w:t xml:space="preserve">Hitesh Taylor Educational Award, 1998 (for the </w:t>
      </w:r>
    </w:p>
    <w:p>
      <w:pPr>
        <w:pStyle w:val="Normal"/>
        <w:ind w:firstLine="720" w:start="1440" w:end="0"/>
        <w:jc w:val="both"/>
        <w:rPr/>
      </w:pPr>
      <w:r>
        <w:rPr/>
        <w:t xml:space="preserve">Best Business Student)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  <w:t>Work Experience: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June 01 – Present</w:t>
        <w:tab/>
        <w:tab/>
        <w:t xml:space="preserve">Enron Risk Assessment and Control                   </w:t>
      </w:r>
      <w:r>
        <w:rPr/>
        <w:t>Houston, TX</w:t>
      </w:r>
    </w:p>
    <w:p>
      <w:pPr>
        <w:pStyle w:val="Heading5"/>
        <w:rPr>
          <w:u w:val="single"/>
        </w:rPr>
      </w:pPr>
      <w:r>
        <w:rPr/>
        <w:t>Associate, RAC Underwriting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Responsibilities include providing independent evaluation through intensive modeling. Evaluated various transactions including Triton Coal, Tarpon E&amp;P, Falcon Gas Storage, Longview Power Plant etc.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Quarterly revaluation of Enron merchant and strategic assets such as Black Mountain Resources, American Coal, Anker Coal, Bammel Gas Trust, East Coast Power, Victory Garden etc.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>Worked with deal teams to facilitating Enron internal Deal Approval Processes, consultation on risk mitigation, adjustment for appropriate capital price and assistance in syndication process.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2880" w:start="2880" w:end="0"/>
        <w:rPr/>
      </w:pPr>
      <w:r>
        <w:rPr>
          <w:b/>
          <w:bCs/>
        </w:rPr>
        <w:t xml:space="preserve">Aug. 00 – June 01 </w:t>
        <w:tab/>
        <w:t xml:space="preserve">Enron Investment Partners (EIP)  </w:t>
        <w:tab/>
        <w:tab/>
        <w:t xml:space="preserve">         </w:t>
      </w:r>
      <w:r>
        <w:rPr/>
        <w:t>Houston, TX</w:t>
      </w:r>
      <w:r>
        <w:rPr>
          <w:b/>
          <w:bCs/>
        </w:rPr>
        <w:t xml:space="preserve"> </w:t>
      </w:r>
    </w:p>
    <w:p>
      <w:pPr>
        <w:pStyle w:val="Normal"/>
        <w:ind w:start="2880" w:end="0"/>
        <w:jc w:val="both"/>
        <w:rPr>
          <w:b/>
          <w:bCs/>
          <w:u w:val="single"/>
        </w:rPr>
      </w:pPr>
      <w:r>
        <w:rPr>
          <w:b/>
          <w:bCs/>
        </w:rPr>
        <w:t>Rotating Associate</w:t>
      </w:r>
    </w:p>
    <w:p>
      <w:pPr>
        <w:pStyle w:val="Normal"/>
        <w:jc w:val="both"/>
        <w:rPr/>
      </w:pPr>
      <w:r>
        <w:rPr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Reviewing and building of Financial Model for the group to determine viable investment opportunities.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Originate and closing numerous deals for EIP portfolio companies including Printing deal with the Houston Astros.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Participated in a successful turn-around effort for one of EIP’s portfolio companies (Visual Bridge).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Getting deals through Enron internal approval process and managing periodic compliance requirements.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Advised numerous startup businesses on securing debt and equity capitals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Investment and active portfolio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1995 – 2000</w:t>
        <w:tab/>
        <w:tab/>
        <w:t>Camac (UK) Limited</w:t>
      </w:r>
      <w:r>
        <w:rPr/>
        <w:tab/>
        <w:tab/>
        <w:tab/>
        <w:t xml:space="preserve">              London, England</w:t>
      </w:r>
    </w:p>
    <w:p>
      <w:pPr>
        <w:pStyle w:val="Normal"/>
        <w:ind w:firstLine="720" w:start="1440" w:end="0"/>
        <w:rPr>
          <w:b/>
          <w:bCs/>
        </w:rPr>
      </w:pPr>
      <w:r>
        <w:rPr>
          <w:b/>
          <w:bCs/>
        </w:rPr>
        <w:t>Financial Analyst</w:t>
      </w:r>
    </w:p>
    <w:p>
      <w:pPr>
        <w:pStyle w:val="Normal"/>
        <w:ind w:start="720" w:end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Primary responsibilities included financial modeling, structuring and risk management.</w:t>
      </w:r>
    </w:p>
    <w:p>
      <w:pPr>
        <w:pStyle w:val="Normal"/>
        <w:ind w:firstLine="60" w:end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Manage the company’s strategic alliance with Connoco/Dupont, British Petroleum, and various governmental agencies in West Africa.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Responsible for Budget Control (actual vs. budget variance), Cash Flow Forecast, Generation, Analysis and presentation of Camac financial position to various interested parties.</w:t>
      </w:r>
    </w:p>
    <w:p>
      <w:pPr>
        <w:pStyle w:val="Normal"/>
        <w:ind w:firstLine="720" w:start="2880" w:end="0"/>
        <w:jc w:val="both"/>
        <w:rPr/>
      </w:pPr>
      <w:r>
        <w:rPr/>
        <w:t xml:space="preserve"> </w:t>
      </w:r>
    </w:p>
    <w:p>
      <w:pPr>
        <w:pStyle w:val="Normal"/>
        <w:shd w:fill="F2F2F2" w:val="clear"/>
        <w:jc w:val="both"/>
        <w:rPr/>
      </w:pPr>
      <w:r>
        <w:rPr/>
      </w:r>
    </w:p>
    <w:p>
      <w:pPr>
        <w:pStyle w:val="Heading2"/>
        <w:widowControl/>
        <w:ind w:hanging="0" w:start="0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jc w:val="both"/>
        <w:rPr>
          <w:i/>
          <w:i/>
          <w:sz w:val="22"/>
        </w:rPr>
      </w:pPr>
      <w:r>
        <w:rPr>
          <w:i/>
          <w:sz w:val="22"/>
        </w:rPr>
      </w:r>
    </w:p>
    <w:p>
      <w:pPr>
        <w:pStyle w:val="Footer"/>
        <w:widowControl/>
        <w:tabs>
          <w:tab w:val="clear" w:pos="4320"/>
          <w:tab w:val="clear" w:pos="8640"/>
        </w:tabs>
        <w:overflowPunct w:val="true"/>
        <w:autoSpaceDE w:val="true"/>
        <w:textAlignment w:val="auto"/>
        <w:rPr>
          <w:szCs w:val="24"/>
          <w:lang w:val="en-US"/>
        </w:rPr>
      </w:pPr>
      <w:r>
        <w:rPr>
          <w:szCs w:val="24"/>
          <w:lang w:val="en-US"/>
        </w:rPr>
      </w:r>
    </w:p>
    <w:sectPr>
      <w:footerReference w:type="default" r:id="rId2"/>
      <w:footerReference w:type="first" r:id="rId3"/>
      <w:type w:val="nextPage"/>
      <w:pgSz w:w="11906" w:h="16838"/>
      <w:pgMar w:left="1440" w:right="1440" w:gutter="0" w:header="0" w:top="1440" w:footer="720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45.2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shd w:fill="F2F2F2" w:val="clear"/>
      <w:overflowPunct w:val="false"/>
      <w:autoSpaceDE w:val="false"/>
      <w:jc w:val="end"/>
      <w:textAlignment w:val="baseline"/>
      <w:outlineLvl w:val="0"/>
    </w:pPr>
    <w:rPr>
      <w:b/>
      <w:i/>
      <w:sz w:val="28"/>
      <w:szCs w:val="20"/>
      <w:lang w:val="en-GB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verflowPunct w:val="false"/>
      <w:autoSpaceDE w:val="false"/>
      <w:textAlignment w:val="baseline"/>
      <w:outlineLvl w:val="1"/>
    </w:pPr>
    <w:rPr>
      <w:b/>
      <w:szCs w:val="20"/>
      <w:lang w:val="en-GB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2160" w:end="0"/>
      <w:jc w:val="both"/>
      <w:outlineLvl w:val="4"/>
    </w:pPr>
    <w:rPr>
      <w:b/>
      <w:b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widowControl w:val="false"/>
      <w:overflowPunct w:val="false"/>
      <w:autoSpaceDE w:val="false"/>
      <w:ind w:firstLine="720" w:start="5760" w:end="0"/>
      <w:textAlignment w:val="baseline"/>
    </w:pPr>
    <w:rPr>
      <w:sz w:val="20"/>
      <w:szCs w:val="20"/>
      <w:lang w:val="en-GB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overflowPunct w:val="false"/>
      <w:autoSpaceDE w:val="false"/>
      <w:textAlignment w:val="baseline"/>
    </w:pPr>
    <w:rPr>
      <w:szCs w:val="20"/>
      <w:lang w:val="en-GB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2001-10-23T13:20:00Z</dcterms:created>
  <dc:creator>O. Oladeji</dc:creator>
  <dc:description/>
  <dc:language>en-CA</dc:language>
  <cp:lastModifiedBy>arichard</cp:lastModifiedBy>
  <cp:lastPrinted>2001-10-01T11:48:00Z</cp:lastPrinted>
  <dcterms:modified xsi:type="dcterms:W3CDTF">2001-10-23T13:20:00Z</dcterms:modified>
  <cp:revision>2</cp:revision>
  <dc:subject/>
  <dc:title>RESUME</dc:title>
</cp:coreProperties>
</file>