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Highlights of Recently Adopted Electric Restructuring Rulemakings by the Public Utilities Commission of Ohio</w:t>
      </w:r>
    </w:p>
    <w:p>
      <w:pPr>
        <w:pStyle w:val="Heading1"/>
        <w:ind w:hanging="0" w:start="0"/>
        <w:rPr/>
      </w:pPr>
      <w:r>
        <w:rPr/>
      </w:r>
    </w:p>
    <w:p>
      <w:pPr>
        <w:pStyle w:val="Heading1"/>
        <w:ind w:hanging="0" w:start="0"/>
        <w:rPr>
          <w:b/>
        </w:rPr>
      </w:pPr>
      <w:r>
        <w:rPr>
          <w:b/>
        </w:rPr>
        <w:t>Certification</w:t>
      </w:r>
    </w:p>
    <w:p>
      <w:pPr>
        <w:pStyle w:val="Normal"/>
        <w:rPr>
          <w:b/>
          <w:sz w:val="24"/>
        </w:rPr>
      </w:pPr>
      <w:r>
        <w:rPr>
          <w:b/>
          <w:sz w:val="24"/>
        </w:rPr>
      </w:r>
    </w:p>
    <w:p>
      <w:pPr>
        <w:pStyle w:val="Normal"/>
        <w:numPr>
          <w:ilvl w:val="0"/>
          <w:numId w:val="3"/>
        </w:numPr>
        <w:rPr>
          <w:sz w:val="24"/>
        </w:rPr>
      </w:pPr>
      <w:r>
        <w:rPr>
          <w:sz w:val="24"/>
        </w:rPr>
        <w:t>Market research and advertising aimed at raising customer awareness and name recognition may proceed prior to certification.</w:t>
      </w:r>
    </w:p>
    <w:p>
      <w:pPr>
        <w:pStyle w:val="Normal"/>
        <w:numPr>
          <w:ilvl w:val="0"/>
          <w:numId w:val="3"/>
        </w:numPr>
        <w:rPr>
          <w:sz w:val="24"/>
        </w:rPr>
      </w:pPr>
      <w:r>
        <w:rPr>
          <w:sz w:val="24"/>
        </w:rPr>
        <w:t>If required documentation is not available at the time a certificate is sought, it may be provided later, but no later than ten days prior to offering generation service.</w:t>
      </w:r>
    </w:p>
    <w:p>
      <w:pPr>
        <w:pStyle w:val="Normal"/>
        <w:numPr>
          <w:ilvl w:val="0"/>
          <w:numId w:val="3"/>
        </w:numPr>
        <w:rPr>
          <w:sz w:val="24"/>
        </w:rPr>
      </w:pPr>
      <w:r>
        <w:rPr>
          <w:sz w:val="24"/>
        </w:rPr>
        <w:t>Unless good cause is shown, applications will be approved “automatically” on the 31</w:t>
      </w:r>
      <w:r>
        <w:rPr>
          <w:sz w:val="24"/>
          <w:vertAlign w:val="superscript"/>
        </w:rPr>
        <w:t xml:space="preserve">st </w:t>
      </w:r>
      <w:r>
        <w:rPr>
          <w:sz w:val="24"/>
        </w:rPr>
        <w:t xml:space="preserve">day after filing, for a two-year period.  Renewal is handled in the same manner. </w:t>
      </w:r>
    </w:p>
    <w:p>
      <w:pPr>
        <w:pStyle w:val="Normal"/>
        <w:numPr>
          <w:ilvl w:val="0"/>
          <w:numId w:val="3"/>
        </w:numPr>
        <w:rPr>
          <w:sz w:val="24"/>
        </w:rPr>
      </w:pPr>
      <w:r>
        <w:rPr>
          <w:sz w:val="24"/>
        </w:rPr>
        <w:t>The financial instrument required by law to protect the EDU in the event of partial or non-delivery is subject to Commission tariff approval.</w:t>
      </w:r>
    </w:p>
    <w:p>
      <w:pPr>
        <w:pStyle w:val="Normal"/>
        <w:numPr>
          <w:ilvl w:val="0"/>
          <w:numId w:val="3"/>
        </w:numPr>
        <w:rPr>
          <w:sz w:val="24"/>
        </w:rPr>
      </w:pPr>
      <w:r>
        <w:rPr>
          <w:sz w:val="24"/>
        </w:rPr>
        <w:t>Application forms have not yet been designed; but the rules specify a modest minimum amount of information which must be provided.</w:t>
      </w:r>
    </w:p>
    <w:p>
      <w:pPr>
        <w:pStyle w:val="Normal"/>
        <w:rPr>
          <w:sz w:val="24"/>
        </w:rPr>
      </w:pPr>
      <w:r>
        <w:rPr>
          <w:sz w:val="24"/>
        </w:rPr>
      </w:r>
    </w:p>
    <w:p>
      <w:pPr>
        <w:pStyle w:val="Heading2"/>
        <w:ind w:hanging="0" w:start="0"/>
        <w:rPr/>
      </w:pPr>
      <w:r>
        <w:rPr/>
        <w:t>Market Monitoring</w:t>
      </w:r>
    </w:p>
    <w:p>
      <w:pPr>
        <w:pStyle w:val="Normal"/>
        <w:rPr>
          <w:b/>
          <w:sz w:val="24"/>
        </w:rPr>
      </w:pPr>
      <w:r>
        <w:rPr>
          <w:b/>
          <w:sz w:val="24"/>
        </w:rPr>
      </w:r>
    </w:p>
    <w:p>
      <w:pPr>
        <w:pStyle w:val="Normal"/>
        <w:numPr>
          <w:ilvl w:val="0"/>
          <w:numId w:val="4"/>
        </w:numPr>
        <w:rPr>
          <w:sz w:val="24"/>
        </w:rPr>
      </w:pPr>
      <w:r>
        <w:rPr>
          <w:sz w:val="24"/>
        </w:rPr>
        <w:t>The Commission significantly reduced the reporting requirements of certified entities as compared with the Staff’s proposed rules.  Certified competitive retail service providers are required on a quarterly basis to file monthly data, by customer class, concerning number of customers, MWH sales, and billed revenues.</w:t>
      </w:r>
    </w:p>
    <w:p>
      <w:pPr>
        <w:pStyle w:val="Normal"/>
        <w:numPr>
          <w:ilvl w:val="0"/>
          <w:numId w:val="4"/>
        </w:numPr>
        <w:rPr>
          <w:sz w:val="24"/>
        </w:rPr>
      </w:pPr>
      <w:r>
        <w:rPr>
          <w:sz w:val="24"/>
        </w:rPr>
        <w:t>The information may be filed electronically and attested to with a scanned signature.</w:t>
      </w:r>
    </w:p>
    <w:p>
      <w:pPr>
        <w:pStyle w:val="Normal"/>
        <w:numPr>
          <w:ilvl w:val="0"/>
          <w:numId w:val="4"/>
        </w:numPr>
        <w:rPr>
          <w:sz w:val="24"/>
        </w:rPr>
      </w:pPr>
      <w:r>
        <w:rPr>
          <w:sz w:val="24"/>
        </w:rPr>
        <w:t>Information that is not public will be deemed confidential, but the Commission reserves the right to publish it in aggregated form.</w:t>
      </w:r>
    </w:p>
    <w:p>
      <w:pPr>
        <w:pStyle w:val="Normal"/>
        <w:numPr>
          <w:ilvl w:val="0"/>
          <w:numId w:val="4"/>
        </w:numPr>
        <w:rPr>
          <w:sz w:val="24"/>
        </w:rPr>
      </w:pPr>
      <w:r>
        <w:rPr>
          <w:sz w:val="24"/>
        </w:rPr>
        <w:t>The Commission retains the right to request additional information to fulfill its responsibilities, including conducting customer surveys.</w:t>
      </w:r>
    </w:p>
    <w:p>
      <w:pPr>
        <w:pStyle w:val="Normal"/>
        <w:rPr>
          <w:sz w:val="24"/>
        </w:rPr>
      </w:pPr>
      <w:r>
        <w:rPr>
          <w:sz w:val="24"/>
        </w:rPr>
      </w:r>
    </w:p>
    <w:p>
      <w:pPr>
        <w:pStyle w:val="Heading2"/>
        <w:ind w:hanging="0" w:start="0"/>
        <w:rPr/>
      </w:pPr>
      <w:r>
        <w:rPr/>
        <w:t xml:space="preserve">ADR Procedures </w:t>
      </w:r>
    </w:p>
    <w:p>
      <w:pPr>
        <w:pStyle w:val="Normal"/>
        <w:rPr/>
      </w:pPr>
      <w:r>
        <w:rPr/>
      </w:r>
    </w:p>
    <w:p>
      <w:pPr>
        <w:pStyle w:val="Normal"/>
        <w:numPr>
          <w:ilvl w:val="0"/>
          <w:numId w:val="2"/>
        </w:numPr>
        <w:rPr>
          <w:sz w:val="24"/>
        </w:rPr>
      </w:pPr>
      <w:r>
        <w:rPr>
          <w:sz w:val="24"/>
        </w:rPr>
        <w:t>The Commission established voluntary mediation and arbitration procedures.  Each is</w:t>
      </w:r>
    </w:p>
    <w:p>
      <w:pPr>
        <w:pStyle w:val="Normal"/>
        <w:rPr>
          <w:sz w:val="24"/>
        </w:rPr>
      </w:pPr>
      <w:r>
        <w:rPr>
          <w:sz w:val="24"/>
        </w:rPr>
        <w:t xml:space="preserve">      </w:t>
      </w:r>
      <w:r>
        <w:rPr>
          <w:sz w:val="24"/>
        </w:rPr>
        <w:t>available for the resolution of pending formal complaints.</w:t>
      </w:r>
    </w:p>
    <w:p>
      <w:pPr>
        <w:pStyle w:val="Normal"/>
        <w:numPr>
          <w:ilvl w:val="0"/>
          <w:numId w:val="2"/>
        </w:numPr>
        <w:rPr>
          <w:sz w:val="24"/>
        </w:rPr>
      </w:pPr>
      <w:r>
        <w:rPr>
          <w:sz w:val="24"/>
        </w:rPr>
        <w:t xml:space="preserve">In instances where an arbitrator’s role is filled by an employee of the Commission, </w:t>
      </w:r>
    </w:p>
    <w:p>
      <w:pPr>
        <w:pStyle w:val="Normal"/>
        <w:ind w:start="360" w:end="0"/>
        <w:rPr>
          <w:sz w:val="24"/>
        </w:rPr>
      </w:pPr>
      <w:r>
        <w:rPr>
          <w:sz w:val="24"/>
        </w:rPr>
        <w:t>parties are required to accept the decision, but the decision doesn’t constitute precedent.</w:t>
      </w:r>
    </w:p>
    <w:p>
      <w:pPr>
        <w:pStyle w:val="Normal"/>
        <w:numPr>
          <w:ilvl w:val="0"/>
          <w:numId w:val="2"/>
        </w:numPr>
        <w:rPr>
          <w:sz w:val="24"/>
        </w:rPr>
      </w:pPr>
      <w:r>
        <w:rPr>
          <w:sz w:val="24"/>
        </w:rPr>
        <w:t>Parties seeking to proceed via a commercial arbitration process must obtain Commission approval, subject to criteria of fairness, cost-effectiveness, and no prejudice against future parties.</w:t>
      </w:r>
    </w:p>
    <w:p>
      <w:pPr>
        <w:pStyle w:val="Normal"/>
        <w:rPr>
          <w:sz w:val="24"/>
        </w:rPr>
      </w:pPr>
      <w:r>
        <w:rPr>
          <w:sz w:val="24"/>
        </w:rPr>
      </w:r>
    </w:p>
    <w:p>
      <w:pPr>
        <w:pStyle w:val="Heading2"/>
        <w:ind w:hanging="0" w:start="0"/>
        <w:rPr/>
      </w:pPr>
      <w:r>
        <w:rPr/>
        <w:t>Non-Competitive Electric Service and Safety Standards</w:t>
      </w:r>
    </w:p>
    <w:p>
      <w:pPr>
        <w:pStyle w:val="Normal"/>
        <w:rPr>
          <w:sz w:val="24"/>
        </w:rPr>
      </w:pPr>
      <w:r>
        <w:rPr>
          <w:sz w:val="24"/>
        </w:rPr>
      </w:r>
    </w:p>
    <w:p>
      <w:pPr>
        <w:pStyle w:val="Normal"/>
        <w:numPr>
          <w:ilvl w:val="0"/>
          <w:numId w:val="5"/>
        </w:numPr>
        <w:rPr>
          <w:sz w:val="24"/>
        </w:rPr>
      </w:pPr>
      <w:r>
        <w:rPr>
          <w:sz w:val="24"/>
        </w:rPr>
        <w:t xml:space="preserve">The Commission has promulgated prescriptive standards for inspection, maintenance, </w:t>
      </w:r>
    </w:p>
    <w:p>
      <w:pPr>
        <w:pStyle w:val="Normal"/>
        <w:ind w:start="360" w:end="0"/>
        <w:rPr>
          <w:sz w:val="24"/>
        </w:rPr>
      </w:pPr>
      <w:r>
        <w:rPr>
          <w:sz w:val="24"/>
        </w:rPr>
        <w:t>repair, and replacement of T&amp;D facilities in Ohio.</w:t>
      </w:r>
    </w:p>
    <w:p>
      <w:pPr>
        <w:pStyle w:val="Normal"/>
        <w:numPr>
          <w:ilvl w:val="0"/>
          <w:numId w:val="5"/>
        </w:numPr>
        <w:rPr>
          <w:sz w:val="24"/>
        </w:rPr>
      </w:pPr>
      <w:r>
        <w:rPr>
          <w:sz w:val="24"/>
        </w:rPr>
        <w:t>Utilities are prohibited from slamming.</w:t>
      </w:r>
    </w:p>
    <w:p>
      <w:pPr>
        <w:pStyle w:val="Normal"/>
        <w:numPr>
          <w:ilvl w:val="0"/>
          <w:numId w:val="5"/>
        </w:numPr>
        <w:rPr>
          <w:sz w:val="24"/>
        </w:rPr>
      </w:pPr>
      <w:r>
        <w:rPr>
          <w:sz w:val="24"/>
        </w:rPr>
        <w:t>Electric utilities are required to report annually to the Commission on a broad range of minimum service quality, safety and reliability requirements imposed on their T&amp;D systems.</w:t>
      </w:r>
    </w:p>
    <w:p>
      <w:pPr>
        <w:pStyle w:val="Normal"/>
        <w:numPr>
          <w:ilvl w:val="0"/>
          <w:numId w:val="5"/>
        </w:numPr>
        <w:rPr>
          <w:sz w:val="24"/>
        </w:rPr>
      </w:pPr>
      <w:r>
        <w:rPr>
          <w:sz w:val="24"/>
        </w:rPr>
        <w:t>Electric utilities are required to file non-discriminatory net-metering tariffs.</w:t>
      </w:r>
    </w:p>
    <w:p>
      <w:pPr>
        <w:pStyle w:val="Normal"/>
        <w:numPr>
          <w:ilvl w:val="0"/>
          <w:numId w:val="5"/>
        </w:numPr>
        <w:rPr>
          <w:sz w:val="24"/>
        </w:rPr>
      </w:pPr>
      <w:r>
        <w:rPr>
          <w:sz w:val="24"/>
        </w:rPr>
        <w:t>Requirements for utility coordination with competitive providers is mandated by rules addressing standardized supplier tariffs.</w:t>
      </w:r>
    </w:p>
    <w:p>
      <w:pPr>
        <w:pStyle w:val="Normal"/>
        <w:numPr>
          <w:ilvl w:val="0"/>
          <w:numId w:val="5"/>
        </w:numPr>
        <w:rPr>
          <w:sz w:val="24"/>
        </w:rPr>
      </w:pPr>
      <w:r>
        <w:rPr>
          <w:sz w:val="24"/>
        </w:rPr>
        <w:t>Environmental disclosure requirements require identification of approximate generation resource mix and very generic reporting on environmental characteristics “typically associated with” such generating resources.  Where the mix and associated characteristics are unknown, “unknown purchased resources” and “unknown impacts” may be attributed by the generation provider.</w:t>
      </w:r>
    </w:p>
    <w:p>
      <w:pPr>
        <w:pStyle w:val="Normal"/>
        <w:rPr>
          <w:sz w:val="24"/>
        </w:rPr>
      </w:pPr>
      <w:r>
        <w:rPr>
          <w:sz w:val="24"/>
        </w:rPr>
      </w:r>
    </w:p>
    <w:p>
      <w:pPr>
        <w:pStyle w:val="Heading2"/>
        <w:ind w:hanging="0" w:start="0"/>
        <w:rPr/>
      </w:pPr>
      <w:r>
        <w:rPr/>
        <w:t>Competitive Retail Electric Service (CRES) Standards</w:t>
      </w:r>
    </w:p>
    <w:p>
      <w:pPr>
        <w:pStyle w:val="Normal"/>
        <w:rPr/>
      </w:pPr>
      <w:r>
        <w:rPr/>
      </w:r>
    </w:p>
    <w:p>
      <w:pPr>
        <w:pStyle w:val="Normal"/>
        <w:rPr>
          <w:sz w:val="24"/>
        </w:rPr>
      </w:pPr>
      <w:r>
        <w:rPr>
          <w:sz w:val="24"/>
        </w:rPr>
        <w:t xml:space="preserve">1.  The rules impose a two-year record retention requirement on CRES providers to   </w:t>
      </w:r>
    </w:p>
    <w:p>
      <w:pPr>
        <w:pStyle w:val="Normal"/>
        <w:rPr>
          <w:sz w:val="24"/>
        </w:rPr>
      </w:pPr>
      <w:r>
        <w:rPr>
          <w:sz w:val="24"/>
        </w:rPr>
        <w:t xml:space="preserve">     </w:t>
      </w:r>
      <w:r>
        <w:rPr>
          <w:sz w:val="24"/>
        </w:rPr>
        <w:t>facilitate the investigation of customer complaints.</w:t>
      </w:r>
    </w:p>
    <w:p>
      <w:pPr>
        <w:pStyle w:val="Normal"/>
        <w:numPr>
          <w:ilvl w:val="0"/>
          <w:numId w:val="6"/>
        </w:numPr>
        <w:rPr>
          <w:sz w:val="24"/>
        </w:rPr>
      </w:pPr>
      <w:r>
        <w:rPr>
          <w:sz w:val="24"/>
        </w:rPr>
        <w:t>Significant marketing material content requirements are imposed.</w:t>
      </w:r>
    </w:p>
    <w:p>
      <w:pPr>
        <w:pStyle w:val="Normal"/>
        <w:numPr>
          <w:ilvl w:val="0"/>
          <w:numId w:val="6"/>
        </w:numPr>
        <w:rPr>
          <w:sz w:val="24"/>
        </w:rPr>
      </w:pPr>
      <w:r>
        <w:rPr>
          <w:sz w:val="24"/>
        </w:rPr>
        <w:t>Customer solicitation may be direct, or via mail, fax, telephone or the Internet.  A wet signature is required with direct, mail or fax solicitation.  An audiotape with specified content is required for telephonic enrollment, and Internet enrollment is permitted with encrypted customer input.</w:t>
      </w:r>
    </w:p>
    <w:p>
      <w:pPr>
        <w:pStyle w:val="Normal"/>
        <w:numPr>
          <w:ilvl w:val="0"/>
          <w:numId w:val="6"/>
        </w:numPr>
        <w:rPr>
          <w:sz w:val="24"/>
        </w:rPr>
      </w:pPr>
      <w:r>
        <w:rPr>
          <w:sz w:val="24"/>
        </w:rPr>
        <w:t>CRES providers may impose reasonable creditworthiness standards.</w:t>
      </w:r>
    </w:p>
    <w:p>
      <w:pPr>
        <w:pStyle w:val="Normal"/>
        <w:numPr>
          <w:ilvl w:val="0"/>
          <w:numId w:val="6"/>
        </w:numPr>
        <w:rPr>
          <w:sz w:val="24"/>
        </w:rPr>
      </w:pPr>
      <w:r>
        <w:rPr>
          <w:sz w:val="24"/>
        </w:rPr>
        <w:t>See above, Non-Competitive Electric Service and Safety Standards, for environmental reporting requirements.</w:t>
      </w:r>
    </w:p>
    <w:p>
      <w:pPr>
        <w:pStyle w:val="Normal"/>
        <w:numPr>
          <w:ilvl w:val="0"/>
          <w:numId w:val="6"/>
        </w:numPr>
        <w:rPr>
          <w:sz w:val="24"/>
        </w:rPr>
      </w:pPr>
      <w:r>
        <w:rPr>
          <w:sz w:val="24"/>
        </w:rPr>
        <w:t>During the market development period, contract terms of no longer than 24 months are permitted for residential and small commercial customers.</w:t>
      </w:r>
    </w:p>
    <w:p>
      <w:pPr>
        <w:pStyle w:val="Normal"/>
        <w:numPr>
          <w:ilvl w:val="0"/>
          <w:numId w:val="6"/>
        </w:numPr>
        <w:rPr>
          <w:sz w:val="24"/>
        </w:rPr>
      </w:pPr>
      <w:r>
        <w:rPr>
          <w:sz w:val="24"/>
        </w:rPr>
        <w:t>Tight requirements are imposed regarding contract disclosure.</w:t>
      </w:r>
    </w:p>
    <w:p>
      <w:pPr>
        <w:pStyle w:val="Normal"/>
        <w:numPr>
          <w:ilvl w:val="0"/>
          <w:numId w:val="6"/>
        </w:numPr>
        <w:rPr>
          <w:sz w:val="24"/>
        </w:rPr>
      </w:pPr>
      <w:r>
        <w:rPr>
          <w:sz w:val="24"/>
        </w:rPr>
        <w:t>CRES providers may bill customers directly, or arrange for consolidated billing by the EDU or its agent.</w:t>
      </w:r>
    </w:p>
    <w:p>
      <w:pPr>
        <w:pStyle w:val="Normal"/>
        <w:numPr>
          <w:ilvl w:val="0"/>
          <w:numId w:val="6"/>
        </w:numPr>
        <w:rPr>
          <w:sz w:val="24"/>
        </w:rPr>
      </w:pPr>
      <w:r>
        <w:rPr>
          <w:sz w:val="24"/>
        </w:rPr>
        <w:t xml:space="preserve">CRES providers must develop a standard net-metering contract, to be made available </w:t>
      </w:r>
    </w:p>
    <w:p>
      <w:pPr>
        <w:pStyle w:val="Normal"/>
        <w:ind w:start="360" w:end="0"/>
        <w:rPr>
          <w:sz w:val="24"/>
        </w:rPr>
      </w:pPr>
      <w:r>
        <w:rPr>
          <w:sz w:val="24"/>
        </w:rPr>
        <w:t>on a first-come, first-served basis subject to a ceiling of one percent of the CRES provider’s aggregated state peak demand.</w:t>
      </w:r>
    </w:p>
    <w:p>
      <w:pPr>
        <w:pStyle w:val="Normal"/>
        <w:rPr>
          <w:sz w:val="24"/>
        </w:rPr>
      </w:pPr>
      <w:r>
        <w:rPr>
          <w:sz w:val="24"/>
        </w:rPr>
        <w:t>10. CRES providers are prohibited from slamming.</w:t>
      </w:r>
    </w:p>
    <w:p>
      <w:pPr>
        <w:pStyle w:val="Normal"/>
        <w:rPr>
          <w:b/>
          <w:sz w:val="24"/>
        </w:rPr>
      </w:pPr>
      <w:r>
        <w:rPr>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2"/>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2000-04-18T11:45:00Z</dcterms:created>
  <dc:creator>kerry m stroup</dc:creator>
  <dc:description/>
  <dc:language>en-CA</dc:language>
  <cp:lastModifiedBy>kerry m stroup</cp:lastModifiedBy>
  <dcterms:modified xsi:type="dcterms:W3CDTF">2000-04-18T13:06:00Z</dcterms:modified>
  <cp:revision>1</cp:revision>
  <dc:subject/>
  <dc:title>Highlights of Recently Adopted Electric Restructuring Rulemakings by the Public Utilities Commission of Ohio</dc:title>
</cp:coreProperties>
</file>