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drawing>
          <wp:anchor behindDoc="1" distT="0" distB="0" distL="114935" distR="114935" simplePos="0" locked="0" layoutInCell="0" allowOverlap="1" relativeHeight="2">
            <wp:simplePos x="0" y="0"/>
            <wp:positionH relativeFrom="column">
              <wp:posOffset>0</wp:posOffset>
            </wp:positionH>
            <wp:positionV relativeFrom="paragraph">
              <wp:posOffset>7620</wp:posOffset>
            </wp:positionV>
            <wp:extent cx="1005840" cy="1005840"/>
            <wp:effectExtent l="0" t="0" r="0" b="0"/>
            <wp:wrapTight wrapText="bothSides">
              <wp:wrapPolygon edited="0">
                <wp:start x="-360" y="0"/>
                <wp:lineTo x="-360" y="21240"/>
                <wp:lineTo x="21600" y="21240"/>
                <wp:lineTo x="21600" y="0"/>
                <wp:lineTo x="-36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3" t="-63" r="-63" b="-63"/>
                    <a:stretch>
                      <a:fillRect/>
                    </a:stretch>
                  </pic:blipFill>
                  <pic:spPr bwMode="auto">
                    <a:xfrm>
                      <a:off x="0" y="0"/>
                      <a:ext cx="1005840" cy="1005840"/>
                    </a:xfrm>
                    <a:prstGeom prst="rect">
                      <a:avLst/>
                    </a:prstGeom>
                    <a:noFill/>
                  </pic:spPr>
                </pic:pic>
              </a:graphicData>
            </a:graphic>
          </wp:anchor>
        </w:drawing>
      </w:r>
    </w:p>
    <w:p>
      <w:pPr>
        <w:pStyle w:val="Normal"/>
        <w:tabs>
          <w:tab w:val="clear" w:pos="720"/>
          <w:tab w:val="left" w:pos="4320" w:leader="none"/>
          <w:tab w:val="left" w:pos="5760" w:leader="none"/>
        </w:tabs>
        <w:rPr/>
      </w:pPr>
      <w:r>
        <w:rPr/>
        <w:tab/>
      </w:r>
      <w:r>
        <w:rPr>
          <w:rFonts w:cs="Arial" w:ascii="Arial" w:hAnsi="Arial"/>
          <w:b/>
        </w:rPr>
        <w:t>Enron Energy Services, Inc.</w:t>
      </w:r>
    </w:p>
    <w:p>
      <w:pPr>
        <w:pStyle w:val="Normal"/>
        <w:rPr/>
      </w:pPr>
      <w:r>
        <w:rPr/>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360" w:leader="none"/>
          <w:tab w:val="left" w:pos="1440" w:leader="none"/>
        </w:tabs>
        <w:rPr/>
      </w:pPr>
      <w:r>
        <w:rPr/>
        <w:t>DATE:</w:t>
        <w:tab/>
        <w:t>June 4, 2001</w:t>
      </w:r>
    </w:p>
    <w:p>
      <w:pPr>
        <w:pStyle w:val="Normal"/>
        <w:rPr/>
      </w:pPr>
      <w:r>
        <w:rPr/>
      </w:r>
    </w:p>
    <w:p>
      <w:pPr>
        <w:pStyle w:val="Normal"/>
        <w:tabs>
          <w:tab w:val="left" w:pos="720" w:leader="none"/>
          <w:tab w:val="left" w:pos="1080" w:leader="none"/>
          <w:tab w:val="left" w:pos="1440" w:leader="none"/>
        </w:tabs>
        <w:rPr/>
      </w:pPr>
      <w:r>
        <w:rPr/>
        <w:t>TO:</w:t>
        <w:tab/>
        <w:tab/>
        <w:t>Don Black, Mike Brobst, Adam Cooper, Dave Delainey, Janet Dietrich, Denise Furey, Scott Gahn, Mark Haedicke, Jeff Hodge, Greg Sharp, Vicki Sharp</w:t>
      </w:r>
    </w:p>
    <w:p>
      <w:pPr>
        <w:pStyle w:val="Normal"/>
        <w:rPr/>
      </w:pPr>
      <w:r>
        <w:rPr/>
      </w:r>
    </w:p>
    <w:p>
      <w:pPr>
        <w:pStyle w:val="Normal"/>
        <w:tabs>
          <w:tab w:val="clear" w:pos="720"/>
          <w:tab w:val="left" w:pos="360" w:leader="none"/>
          <w:tab w:val="left" w:pos="1440" w:leader="none"/>
        </w:tabs>
        <w:rPr/>
      </w:pPr>
      <w:r>
        <w:rPr/>
        <w:t>FROM:</w:t>
        <w:tab/>
        <w:t>Kelly Noel Higgason</w:t>
      </w:r>
    </w:p>
    <w:p>
      <w:pPr>
        <w:pStyle w:val="Normal"/>
        <w:rPr/>
      </w:pPr>
      <w:r>
        <w:rPr/>
      </w:r>
    </w:p>
    <w:p>
      <w:pPr>
        <w:pStyle w:val="Normal"/>
        <w:tabs>
          <w:tab w:val="clear" w:pos="720"/>
          <w:tab w:val="left" w:pos="90" w:leader="none"/>
          <w:tab w:val="left" w:pos="1440" w:leader="none"/>
        </w:tabs>
        <w:rPr/>
      </w:pPr>
      <w:r>
        <w:rPr/>
        <w:t>SUBJECT:</w:t>
        <w:tab/>
        <w:t>Legal Risks Relating to Ohio School Districts Deal</w:t>
      </w:r>
    </w:p>
    <w:p>
      <w:pPr>
        <w:pStyle w:val="Normal"/>
        <w:rPr/>
      </w:pPr>
      <w:r>
        <w:rPr/>
      </w:r>
    </w:p>
    <w:p>
      <w:pPr>
        <w:pStyle w:val="Normal"/>
        <w:rPr>
          <w:rFonts w:ascii="Helvetica" w:hAnsi="Helvetica" w:eastAsia="Helvetica" w:cs="Helvetica"/>
        </w:rPr>
      </w:pP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22860</wp:posOffset>
                </wp:positionV>
                <wp:extent cx="6126480" cy="0"/>
                <wp:effectExtent l="0" t="5080" r="0" b="5080"/>
                <wp:wrapNone/>
                <wp:docPr id="2" name=""/>
                <a:graphic xmlns:a="http://schemas.openxmlformats.org/drawingml/2006/main">
                  <a:graphicData uri="http://schemas.microsoft.com/office/word/2010/wordprocessingShape">
                    <wps:wsp>
                      <wps:cNvSpPr/>
                      <wps:spPr>
                        <a:xfrm>
                          <a:off x="0" y="0"/>
                          <a:ext cx="6126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8pt" to="482.35pt,1.8pt" stroked="t" o:allowincell="f" style="position:absolute">
                <v:stroke color="black" weight="9360" joinstyle="miter" endcap="flat"/>
                <v:fill o:detectmouseclick="t" on="false"/>
                <w10:wrap type="none"/>
              </v:line>
            </w:pict>
          </mc:Fallback>
        </mc:AlternateContent>
      </w:r>
      <w:r>
        <w:rPr>
          <w:rFonts w:eastAsia="Helvetica" w:cs="Helvetica" w:ascii="Helvetica" w:hAnsi="Helvetica"/>
        </w:rPr>
        <w:t xml:space="preserve"> </w:t>
      </w:r>
    </w:p>
    <w:p>
      <w:pPr>
        <w:pStyle w:val="Normal"/>
        <w:spacing w:lineRule="atLeast" w:line="240"/>
        <w:rPr/>
      </w:pPr>
      <w:r>
        <w:rPr/>
        <w:t xml:space="preserve">This memo highlights the differences in legal risks between the proposed Ohio School Districts transaction and an EES “standard” deal (using the form large commodity template with no revisions).  </w:t>
      </w:r>
    </w:p>
    <w:p>
      <w:pPr>
        <w:pStyle w:val="Normal"/>
        <w:spacing w:lineRule="atLeast" w:line="240"/>
        <w:rPr/>
      </w:pPr>
      <w:r>
        <w:rPr/>
      </w:r>
    </w:p>
    <w:p>
      <w:pPr>
        <w:pStyle w:val="Normal"/>
        <w:spacing w:lineRule="atLeast" w:line="240"/>
        <w:rPr>
          <w:color w:val="000000"/>
        </w:rPr>
      </w:pPr>
      <w:r>
        <w:rPr>
          <w:color w:val="000000"/>
        </w:rPr>
        <w:tab/>
        <w:t>1.</w:t>
        <w:tab/>
        <w:t>There are multiple interpretations of the Commodity Exchange Act provisions relating to "governmental entities" and their qualification as "eligible contract participants" under the CEA.  Consequently, the Ohio Schools deal is structured such that EES can physically deliver the energy during the entire contract term (i.e., the service term begins in April, 2002)</w:t>
      </w:r>
    </w:p>
    <w:p>
      <w:pPr>
        <w:pStyle w:val="Normal"/>
        <w:spacing w:lineRule="atLeast" w:line="240"/>
        <w:rPr>
          <w:color w:val="000000"/>
        </w:rPr>
      </w:pPr>
      <w:r>
        <w:rPr>
          <w:color w:val="000000"/>
        </w:rPr>
      </w:r>
    </w:p>
    <w:p>
      <w:pPr>
        <w:pStyle w:val="Normal"/>
        <w:spacing w:lineRule="atLeast" w:line="240"/>
        <w:ind w:firstLine="720" w:end="0"/>
        <w:rPr/>
      </w:pPr>
      <w:r>
        <w:rPr>
          <w:color w:val="000000"/>
        </w:rPr>
        <w:t>2.</w:t>
        <w:tab/>
        <w:t>The EESI Energy Prices for the contract will be established by EESI on July 17, 2001.  (The school districts will be soliciting bids from other suppliers as well, and such bids are due on July 17</w:t>
      </w:r>
      <w:r>
        <w:rPr>
          <w:color w:val="000000"/>
          <w:vertAlign w:val="superscript"/>
        </w:rPr>
        <w:t>th</w:t>
      </w:r>
      <w:r>
        <w:rPr>
          <w:color w:val="000000"/>
        </w:rPr>
        <w:t>.)  There will be one price for the Columbus Public School District, another for the Southwestern City School District, and a third for the (approximately 50) individual school districts comprising the Metropolitan Education Council.  All EESI Energy Prices will be inclusive of fuel charges, transmission fees, line loss, and auxiliary expenses for power as delivered to the School District’s utility service meter.  EESI’s prices will be valid until July 19, 2001.  If a school district wishes to accept the relevant EESI price for the term of the agreement, it will deliver (a) the appropriate ratification agreement, (b) a copy of the board of education’s resolution authorizing the execution of the ratification agreement, and (c) the statutorily-mandated certificate of adequate resources, on or before July 19, 2001.  If any district fails to deliver the necessary “ratification package” on or before the due date, neither the district nor EESI will have any further obligations to each other under the electricity agreement.</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3.</w:t>
        <w:tab/>
        <w:t xml:space="preserve">The individual school districts that will be party to the agreement comprise the "Ohio School Consortium."  Each school district is responsible only for the payment and performance obligations relating to that district's facilities (except any Excess or Deficiency Amount, as described below).  Each district has a right to participate in the contract if it ratifies the agreement on or before July 19, 2001 AND such school district’s credit is acceptable to EESI.  In the event of Excess or Deficiency Usage for any Contract Year (based upon the aggregate usage of all school districts together), the amount attributable to each of the Columbus Public School District, the Southwestern City School Districts and the Metropolitan Educational Council is calculated and each school district in the relevant group is responsible for its pro rata share of the Excess or Deficiency Usage cost. </w:t>
      </w:r>
    </w:p>
    <w:p>
      <w:pPr>
        <w:pStyle w:val="Normal"/>
        <w:spacing w:lineRule="atLeast" w:line="240"/>
        <w:rPr>
          <w:color w:val="000000"/>
        </w:rPr>
      </w:pPr>
      <w:r>
        <w:rPr>
          <w:color w:val="000000"/>
        </w:rPr>
      </w:r>
    </w:p>
    <w:p>
      <w:pPr>
        <w:pStyle w:val="Normal"/>
        <w:spacing w:lineRule="atLeast" w:line="240"/>
        <w:rPr>
          <w:color w:val="000000"/>
        </w:rPr>
      </w:pPr>
      <w:r>
        <w:rPr>
          <w:color w:val="000000"/>
        </w:rPr>
        <w:tab/>
        <w:t>4.</w:t>
        <w:tab/>
        <w:t>EESI has agreed to modify Minimum Usage to be 80% (instead of 90%) of Anticipated Usage (and Maximum Usage has been modified to be 120% of Anticipated Usage, with an annual 2% per year “creep” factor).</w:t>
      </w:r>
    </w:p>
    <w:p>
      <w:pPr>
        <w:pStyle w:val="Normal"/>
        <w:spacing w:lineRule="atLeast" w:line="240"/>
        <w:rPr>
          <w:color w:val="000000"/>
        </w:rPr>
      </w:pPr>
      <w:r>
        <w:rPr>
          <w:color w:val="000000"/>
        </w:rPr>
      </w:r>
    </w:p>
    <w:p>
      <w:pPr>
        <w:pStyle w:val="Normal"/>
        <w:spacing w:lineRule="atLeast" w:line="240"/>
        <w:ind w:firstLine="720" w:end="0"/>
        <w:rPr>
          <w:color w:val="000000"/>
        </w:rPr>
      </w:pPr>
      <w:r>
        <w:rPr>
          <w:color w:val="000000"/>
        </w:rPr>
        <w:t>5.</w:t>
        <w:tab/>
        <w:t>Bricker &amp; Eckler (EES outside counsel in Ohio) has advised us that contracts of school districts must be subject to termination for non-appropriation of funds to avoid characterization of the contract as debt of the school district subject to Constitutional and statutory debt limitations.  Of course, inclusion of such termination rights in the contract exposes EES to the risk that a school district could terminate its supply contract at the end of any fiscal year.  The contract explicitly states that no termination payment will be payable by a school district terminating the agreement for non-appropriation of funds.</w:t>
      </w:r>
    </w:p>
    <w:p>
      <w:pPr>
        <w:pStyle w:val="Normal"/>
        <w:spacing w:lineRule="atLeast" w:line="240"/>
        <w:ind w:start="720" w:end="0"/>
        <w:rPr>
          <w:color w:val="000000"/>
        </w:rPr>
      </w:pPr>
      <w:r>
        <w:rPr>
          <w:color w:val="000000"/>
        </w:rPr>
      </w:r>
    </w:p>
    <w:p>
      <w:pPr>
        <w:pStyle w:val="Normal"/>
        <w:spacing w:lineRule="atLeast" w:line="240"/>
        <w:ind w:firstLine="720" w:end="0"/>
        <w:rPr>
          <w:color w:val="000000"/>
        </w:rPr>
      </w:pPr>
      <w:r>
        <w:rPr>
          <w:color w:val="000000"/>
        </w:rPr>
        <w:t>In the event that one or more school districts terminate the agreement by reason of non-appropriation of funds, the agreement continues as to the non-terminating school districts; however, EESI has the right to terminate the agreement unilaterally as to the MEC districts only if MEC districts representing at least 30% of the MEC school districts’ Anticipated Usage volume have terminated by reason of non-appropriation.  No termination payment is payable by EESI for such termination</w:t>
      </w:r>
    </w:p>
    <w:p>
      <w:pPr>
        <w:pStyle w:val="Normal"/>
        <w:spacing w:lineRule="atLeast" w:line="240"/>
        <w:rPr>
          <w:color w:val="000000"/>
        </w:rPr>
      </w:pPr>
      <w:r>
        <w:rPr>
          <w:color w:val="000000"/>
        </w:rPr>
      </w:r>
    </w:p>
    <w:p>
      <w:pPr>
        <w:pStyle w:val="Normal"/>
        <w:spacing w:lineRule="atLeast" w:line="240"/>
        <w:rPr>
          <w:color w:val="000000"/>
        </w:rPr>
      </w:pPr>
      <w:r>
        <w:rPr>
          <w:color w:val="000000"/>
        </w:rPr>
        <w:tab/>
        <w:t>6.</w:t>
        <w:tab/>
        <w:t>The schools will not agree that EES can change the utility rate classification, tariff or Billing Cycle of any account without the relevant school district's prior approval.  Obviously, this requirement may delay or eliminate EES' ability to make such changes to maximize the benefit to Enron.  Nicole Schwartz of the Billing group has indicated that the change is acceptable.</w:t>
      </w:r>
    </w:p>
    <w:p>
      <w:pPr>
        <w:pStyle w:val="Normal"/>
        <w:spacing w:lineRule="atLeast" w:line="240"/>
        <w:rPr>
          <w:color w:val="000000"/>
        </w:rPr>
      </w:pPr>
      <w:r>
        <w:rPr>
          <w:color w:val="000000"/>
        </w:rPr>
      </w:r>
    </w:p>
    <w:p>
      <w:pPr>
        <w:pStyle w:val="Normal"/>
        <w:spacing w:lineRule="atLeast" w:line="240"/>
        <w:rPr>
          <w:color w:val="000000"/>
        </w:rPr>
      </w:pPr>
      <w:r>
        <w:rPr>
          <w:color w:val="000000"/>
        </w:rPr>
        <w:tab/>
        <w:t>7.</w:t>
        <w:tab/>
        <w:t>Finally, this agreement was determined to be too far in the negotiation process to introduce the recent changes requested by EWS in the power forms.  As such, it does not include the enhancements to the event of default and assignment provisions.</w:t>
      </w:r>
    </w:p>
    <w:p>
      <w:pPr>
        <w:pStyle w:val="Normal"/>
        <w:rPr>
          <w:color w:val="000000"/>
        </w:rPr>
      </w:pPr>
      <w:r>
        <w:rPr>
          <w:color w:val="000000"/>
        </w:rPr>
      </w:r>
    </w:p>
    <w:p>
      <w:pPr>
        <w:pStyle w:val="Normal"/>
        <w:rPr/>
      </w:pPr>
      <w:r>
        <w:rPr/>
        <w:t>As this is one of the EES Legal Department’s first legal risk memos, we are still working out the “kinks” in the process.  Please contact me (X35698) if you would like any additional information concerning the legal issues relating to the Ohio Schools deal.  Adam Cooper and Mike Brobst hope to be able to release the approved agreement for signature by the schools tomorrow, June 5</w:t>
      </w:r>
      <w:r>
        <w:rPr>
          <w:vertAlign w:val="superscript"/>
        </w:rPr>
        <w:t>th</w:t>
      </w:r>
      <w:r>
        <w:rPr/>
        <w:t xml:space="preserve"> (although, as noted above, EES is not obligated to price the deal until July 17</w:t>
      </w:r>
      <w:r>
        <w:rPr>
          <w:vertAlign w:val="superscript"/>
        </w:rPr>
        <w:t>th</w:t>
      </w:r>
      <w:r>
        <w:rPr/>
        <w:t>).</w:t>
      </w:r>
    </w:p>
    <w:sectPr>
      <w:type w:val="nextPage"/>
      <w:pgSz w:w="12240" w:h="15840"/>
      <w:pgMar w:left="1440" w:right="720" w:gutter="0" w:header="0" w:top="720" w:footer="0" w:bottom="72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2001-06-04T13:57:00Z</dcterms:created>
  <dc:creator>bbaum2</dc:creator>
  <dc:description/>
  <dc:language>en-CA</dc:language>
  <cp:lastModifiedBy>kelly noel higgason</cp:lastModifiedBy>
  <cp:lastPrinted>2001-06-04T11:51:00Z</cp:lastPrinted>
  <dcterms:modified xsi:type="dcterms:W3CDTF">2001-06-04T14:24:00Z</dcterms:modified>
  <cp:revision>4</cp:revision>
  <dc:subject/>
  <dc:title/>
</cp:coreProperties>
</file>