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40" w:type="dxa"/>
        <w:jc w:val="start"/>
        <w:tblInd w:w="-72" w:type="dxa"/>
        <w:tblLayout w:type="fixed"/>
        <w:tblCellMar>
          <w:top w:w="0" w:type="dxa"/>
          <w:start w:w="108" w:type="dxa"/>
          <w:bottom w:w="0" w:type="dxa"/>
          <w:end w:w="108" w:type="dxa"/>
        </w:tblCellMar>
      </w:tblPr>
      <w:tblGrid>
        <w:gridCol w:w="2467"/>
        <w:gridCol w:w="4534"/>
        <w:gridCol w:w="2539"/>
      </w:tblGrid>
      <w:tr>
        <w:trPr/>
        <w:tc>
          <w:tcPr>
            <w:tcW w:w="2467" w:type="dxa"/>
            <w:tcBorders/>
          </w:tcPr>
          <w:p>
            <w:pPr>
              <w:pStyle w:val="Heading"/>
              <w:rPr>
                <w:sz w:val="22"/>
              </w:rPr>
            </w:pPr>
            <w:r>
              <w:rPr>
                <w:sz w:val="22"/>
              </w:rPr>
              <w:drawing>
                <wp:inline distT="0" distB="0" distL="0" distR="0">
                  <wp:extent cx="1095375" cy="112458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5375" cy="1124585"/>
                          </a:xfrm>
                          <a:prstGeom prst="rect">
                            <a:avLst/>
                          </a:prstGeom>
                          <a:noFill/>
                        </pic:spPr>
                      </pic:pic>
                    </a:graphicData>
                  </a:graphic>
                </wp:inline>
              </w:drawing>
            </w:r>
          </w:p>
          <w:p>
            <w:pPr>
              <w:pStyle w:val="Normal"/>
              <w:spacing w:before="20" w:after="0"/>
              <w:rPr>
                <w:rFonts w:ascii="Arial" w:hAnsi="Arial" w:cs="Arial"/>
                <w:sz w:val="22"/>
              </w:rPr>
            </w:pPr>
            <w:r>
              <w:rPr>
                <w:rFonts w:cs="Arial" w:ascii="Arial" w:hAnsi="Arial"/>
                <w:sz w:val="22"/>
              </w:rPr>
            </w:r>
          </w:p>
        </w:tc>
        <w:tc>
          <w:tcPr>
            <w:tcW w:w="4534" w:type="dxa"/>
            <w:tcBorders/>
          </w:tcPr>
          <w:p>
            <w:pPr>
              <w:pStyle w:val="Normal"/>
              <w:snapToGrid w:val="false"/>
              <w:jc w:val="center"/>
              <w:rPr>
                <w:rFonts w:ascii="Arial" w:hAnsi="Arial" w:cs="Arial"/>
                <w:b/>
                <w:sz w:val="22"/>
              </w:rPr>
            </w:pPr>
            <w:r>
              <w:rPr>
                <w:rFonts w:cs="Arial" w:ascii="Arial" w:hAnsi="Arial"/>
                <w:b/>
                <w:sz w:val="22"/>
              </w:rPr>
            </w:r>
          </w:p>
        </w:tc>
        <w:tc>
          <w:tcPr>
            <w:tcW w:w="2539" w:type="dxa"/>
            <w:tcBorders/>
          </w:tcPr>
          <w:p>
            <w:pPr>
              <w:pStyle w:val="Normal"/>
              <w:snapToGrid w:val="false"/>
              <w:jc w:val="both"/>
              <w:rPr>
                <w:rFonts w:ascii="Arial" w:hAnsi="Arial" w:cs="Arial"/>
                <w:b/>
                <w:sz w:val="22"/>
              </w:rPr>
            </w:pPr>
            <w:r>
              <w:rPr>
                <w:rFonts w:cs="Arial" w:ascii="Arial" w:hAnsi="Arial"/>
                <w:b/>
                <w:sz w:val="22"/>
              </w:rPr>
            </w:r>
          </w:p>
        </w:tc>
      </w:tr>
    </w:tbl>
    <w:p>
      <w:pPr>
        <w:pStyle w:val="Normal"/>
        <w:pBdr>
          <w:top w:val="double" w:sz="12" w:space="1" w:color="000000"/>
        </w:pBdr>
        <w:rPr/>
      </w:pPr>
      <w:r>
        <w:rPr/>
        <w:tab/>
        <w:tab/>
      </w:r>
    </w:p>
    <w:tbl>
      <w:tblPr>
        <w:tblW w:w="9468" w:type="dxa"/>
        <w:jc w:val="start"/>
        <w:tblInd w:w="0" w:type="dxa"/>
        <w:tblLayout w:type="fixed"/>
        <w:tblCellMar>
          <w:top w:w="0" w:type="dxa"/>
          <w:start w:w="108" w:type="dxa"/>
          <w:bottom w:w="0" w:type="dxa"/>
          <w:end w:w="108" w:type="dxa"/>
        </w:tblCellMar>
      </w:tblPr>
      <w:tblGrid>
        <w:gridCol w:w="1908"/>
        <w:gridCol w:w="3060"/>
        <w:gridCol w:w="1929"/>
        <w:gridCol w:w="43"/>
        <w:gridCol w:w="1538"/>
        <w:gridCol w:w="990"/>
      </w:tblGrid>
      <w:tr>
        <w:trPr/>
        <w:tc>
          <w:tcPr>
            <w:tcW w:w="1908" w:type="dxa"/>
            <w:tcBorders/>
          </w:tcPr>
          <w:p>
            <w:pPr>
              <w:pStyle w:val="Normal"/>
              <w:spacing w:before="0" w:after="120"/>
              <w:jc w:val="both"/>
              <w:rPr>
                <w:rFonts w:ascii="Arial" w:hAnsi="Arial" w:cs="Arial"/>
                <w:sz w:val="22"/>
              </w:rPr>
            </w:pPr>
            <w:r>
              <w:rPr>
                <w:rFonts w:cs="Arial" w:ascii="Arial" w:hAnsi="Arial"/>
                <w:b/>
                <w:sz w:val="22"/>
              </w:rPr>
              <w:t>TO:</w:t>
            </w:r>
          </w:p>
        </w:tc>
        <w:tc>
          <w:tcPr>
            <w:tcW w:w="3060" w:type="dxa"/>
            <w:tcBorders/>
          </w:tcPr>
          <w:p>
            <w:pPr>
              <w:pStyle w:val="Normal"/>
              <w:jc w:val="both"/>
              <w:rPr>
                <w:rFonts w:ascii="Arial" w:hAnsi="Arial" w:cs="Arial"/>
                <w:sz w:val="22"/>
              </w:rPr>
            </w:pPr>
            <w:r>
              <w:rPr>
                <w:rFonts w:cs="Arial" w:ascii="Arial" w:hAnsi="Arial"/>
                <w:sz w:val="22"/>
              </w:rPr>
              <w:t>Bill Bradford, Ed Essandoh, Connie Estrems, Rich Fried, Denise Furey, Jeff Hodge, Sean Holmes, Jim Keller, Cheryl Lipshutz, Michelle Maynard, Vicki Sharp, Carol St. Clair, Mike Smith, Jim Wood, Jason Woodward, Richard Zdunkewicz</w:t>
            </w:r>
          </w:p>
        </w:tc>
        <w:tc>
          <w:tcPr>
            <w:tcW w:w="1972" w:type="dxa"/>
            <w:gridSpan w:val="2"/>
            <w:tcBorders/>
          </w:tcPr>
          <w:p>
            <w:pPr>
              <w:pStyle w:val="Normal"/>
              <w:spacing w:before="0" w:after="120"/>
              <w:jc w:val="both"/>
              <w:rPr>
                <w:rFonts w:ascii="Arial" w:hAnsi="Arial" w:cs="Arial"/>
                <w:sz w:val="22"/>
              </w:rPr>
            </w:pPr>
            <w:r>
              <w:rPr>
                <w:rFonts w:cs="Arial" w:ascii="Arial" w:hAnsi="Arial"/>
                <w:b/>
                <w:sz w:val="22"/>
              </w:rPr>
              <w:tab/>
              <w:t>DATE:</w:t>
            </w:r>
          </w:p>
        </w:tc>
        <w:tc>
          <w:tcPr>
            <w:tcW w:w="2528" w:type="dxa"/>
            <w:gridSpan w:val="2"/>
            <w:tcBorders/>
          </w:tcPr>
          <w:p>
            <w:pPr>
              <w:pStyle w:val="Normal"/>
              <w:spacing w:before="0" w:after="120"/>
              <w:jc w:val="both"/>
              <w:rPr>
                <w:rFonts w:ascii="Arial" w:hAnsi="Arial" w:cs="Arial"/>
                <w:sz w:val="22"/>
              </w:rPr>
            </w:pPr>
            <w:r>
              <w:rPr>
                <w:rFonts w:cs="Arial" w:ascii="Arial" w:hAnsi="Arial"/>
                <w:sz w:val="22"/>
              </w:rPr>
              <w:t>May 15, 2001</w:t>
            </w:r>
          </w:p>
        </w:tc>
      </w:tr>
      <w:tr>
        <w:trPr>
          <w:trHeight w:val="160" w:hRule="atLeast"/>
        </w:trPr>
        <w:tc>
          <w:tcPr>
            <w:tcW w:w="1908" w:type="dxa"/>
            <w:tcBorders/>
          </w:tcPr>
          <w:p>
            <w:pPr>
              <w:pStyle w:val="Normal"/>
              <w:spacing w:before="120" w:after="240"/>
              <w:jc w:val="both"/>
              <w:rPr>
                <w:rFonts w:ascii="Arial" w:hAnsi="Arial" w:cs="Arial"/>
                <w:sz w:val="22"/>
              </w:rPr>
            </w:pPr>
            <w:r>
              <w:rPr>
                <w:rFonts w:cs="Arial" w:ascii="Arial" w:hAnsi="Arial"/>
                <w:b/>
                <w:sz w:val="22"/>
              </w:rPr>
              <w:t>FROM:</w:t>
            </w:r>
          </w:p>
        </w:tc>
        <w:tc>
          <w:tcPr>
            <w:tcW w:w="3060" w:type="dxa"/>
            <w:tcBorders/>
          </w:tcPr>
          <w:p>
            <w:pPr>
              <w:pStyle w:val="Normal"/>
              <w:spacing w:before="120" w:after="240"/>
              <w:jc w:val="both"/>
              <w:rPr>
                <w:rFonts w:ascii="Arial" w:hAnsi="Arial" w:cs="Arial"/>
                <w:sz w:val="22"/>
              </w:rPr>
            </w:pPr>
            <w:r>
              <w:rPr>
                <w:rFonts w:cs="Arial" w:ascii="Arial" w:hAnsi="Arial"/>
                <w:sz w:val="22"/>
              </w:rPr>
              <w:t>Marianne Castano</w:t>
            </w:r>
          </w:p>
        </w:tc>
        <w:tc>
          <w:tcPr>
            <w:tcW w:w="1929" w:type="dxa"/>
            <w:tcBorders/>
          </w:tcPr>
          <w:p>
            <w:pPr>
              <w:pStyle w:val="Normal"/>
              <w:spacing w:before="120" w:after="240"/>
              <w:jc w:val="both"/>
              <w:rPr>
                <w:rFonts w:ascii="Arial" w:hAnsi="Arial" w:cs="Arial"/>
                <w:b/>
                <w:sz w:val="22"/>
              </w:rPr>
            </w:pPr>
            <w:r>
              <w:rPr>
                <w:rFonts w:eastAsia="Arial" w:cs="Arial" w:ascii="Arial" w:hAnsi="Arial"/>
                <w:b/>
                <w:sz w:val="22"/>
              </w:rPr>
              <w:t xml:space="preserve">           </w:t>
            </w:r>
            <w:r>
              <w:rPr>
                <w:rFonts w:cs="Arial" w:ascii="Arial" w:hAnsi="Arial"/>
                <w:b/>
                <w:sz w:val="22"/>
              </w:rPr>
              <w:t>DEPT:</w:t>
            </w:r>
          </w:p>
        </w:tc>
        <w:tc>
          <w:tcPr>
            <w:tcW w:w="2571" w:type="dxa"/>
            <w:gridSpan w:val="3"/>
            <w:tcBorders/>
          </w:tcPr>
          <w:p>
            <w:pPr>
              <w:pStyle w:val="Normal"/>
              <w:spacing w:before="120" w:after="240"/>
              <w:jc w:val="both"/>
              <w:rPr>
                <w:rFonts w:ascii="Arial" w:hAnsi="Arial" w:cs="Arial"/>
                <w:sz w:val="22"/>
              </w:rPr>
            </w:pPr>
            <w:r>
              <w:rPr>
                <w:rFonts w:cs="Arial" w:ascii="Arial" w:hAnsi="Arial"/>
                <w:sz w:val="22"/>
              </w:rPr>
              <w:t>EES Legal Dept.</w:t>
            </w:r>
          </w:p>
        </w:tc>
      </w:tr>
      <w:tr>
        <w:trPr/>
        <w:tc>
          <w:tcPr>
            <w:tcW w:w="1908" w:type="dxa"/>
            <w:tcBorders/>
          </w:tcPr>
          <w:p>
            <w:pPr>
              <w:pStyle w:val="Normal"/>
              <w:spacing w:before="0" w:after="120"/>
              <w:jc w:val="both"/>
              <w:rPr>
                <w:rFonts w:ascii="Arial" w:hAnsi="Arial" w:cs="Arial"/>
                <w:sz w:val="22"/>
              </w:rPr>
            </w:pPr>
            <w:r>
              <w:rPr>
                <w:rFonts w:cs="Arial" w:ascii="Arial" w:hAnsi="Arial"/>
                <w:b/>
                <w:sz w:val="22"/>
              </w:rPr>
              <w:t>SUBJECT:</w:t>
            </w:r>
          </w:p>
        </w:tc>
        <w:tc>
          <w:tcPr>
            <w:tcW w:w="6570" w:type="dxa"/>
            <w:gridSpan w:val="4"/>
            <w:tcBorders/>
          </w:tcPr>
          <w:p>
            <w:pPr>
              <w:pStyle w:val="Normal"/>
              <w:rPr>
                <w:rFonts w:ascii="Arial" w:hAnsi="Arial" w:cs="Arial"/>
                <w:sz w:val="22"/>
              </w:rPr>
            </w:pPr>
            <w:r>
              <w:rPr>
                <w:rFonts w:cs="Arial" w:ascii="Arial" w:hAnsi="Arial"/>
                <w:sz w:val="22"/>
              </w:rPr>
              <w:t>Follow-up To Yesterday’s Meeting</w:t>
            </w:r>
          </w:p>
          <w:p>
            <w:pPr>
              <w:pStyle w:val="Normal"/>
              <w:rPr>
                <w:rFonts w:ascii="Arial" w:hAnsi="Arial" w:cs="Arial"/>
                <w:sz w:val="22"/>
              </w:rPr>
            </w:pPr>
            <w:r>
              <w:rPr>
                <w:rFonts w:cs="Arial" w:ascii="Arial" w:hAnsi="Arial"/>
                <w:sz w:val="22"/>
              </w:rPr>
            </w:r>
          </w:p>
        </w:tc>
        <w:tc>
          <w:tcPr>
            <w:tcW w:w="990" w:type="dxa"/>
            <w:tcBorders/>
            <w:tcMar>
              <w:start w:w="0" w:type="dxa"/>
              <w:end w:w="0" w:type="dxa"/>
            </w:tcMar>
          </w:tcPr>
          <w:p>
            <w:pPr>
              <w:pStyle w:val="Normal"/>
              <w:snapToGrid w:val="false"/>
              <w:rPr>
                <w:rFonts w:ascii="Arial" w:hAnsi="Arial" w:cs="Arial"/>
                <w:sz w:val="22"/>
              </w:rPr>
            </w:pPr>
            <w:r>
              <w:rPr>
                <w:rFonts w:cs="Arial" w:ascii="Arial" w:hAnsi="Arial"/>
                <w:sz w:val="22"/>
              </w:rPr>
            </w:r>
          </w:p>
        </w:tc>
      </w:tr>
    </w:tbl>
    <w:p>
      <w:pPr>
        <w:pStyle w:val="Normal"/>
        <w:rPr>
          <w:rFonts w:ascii="Arial" w:hAnsi="Arial" w:cs="Arial"/>
          <w:sz w:val="22"/>
        </w:rPr>
      </w:pPr>
      <w:r>
        <w:rPr>
          <w:rFonts w:cs="Arial" w:ascii="Arial" w:hAnsi="Arial"/>
          <w:sz w:val="22"/>
        </w:rPr>
      </w:r>
    </w:p>
    <w:p>
      <w:pPr>
        <w:pStyle w:val="BodyText"/>
        <w:rPr/>
      </w:pPr>
      <w:r>
        <w:rPr/>
        <w:t xml:space="preserve">As a follow-up to yesterday’s meeting regarding the short form power agreement, the following sets forth a list of action items that we should hope to accomplish prior to our next meeting, which has been scheduled for next Wednesday, May 23rd.  Please provide your deliverable to the group in advance of next Wednesday’s meeting, if at all possible.  Again, Legal will hold off circulating a redraft of the form until all open issues have been resolved: </w:t>
      </w:r>
    </w:p>
    <w:p>
      <w:pPr>
        <w:pStyle w:val="Normal"/>
        <w:rPr>
          <w:rFonts w:ascii="Arial" w:hAnsi="Arial" w:cs="Arial"/>
          <w:sz w:val="22"/>
        </w:rPr>
      </w:pPr>
      <w:r>
        <w:rPr>
          <w:rFonts w:cs="Arial" w:ascii="Arial" w:hAnsi="Arial"/>
          <w:sz w:val="22"/>
        </w:rPr>
      </w:r>
    </w:p>
    <w:p>
      <w:pPr>
        <w:pStyle w:val="Normal"/>
        <w:numPr>
          <w:ilvl w:val="0"/>
          <w:numId w:val="1"/>
        </w:numPr>
        <w:rPr>
          <w:rFonts w:ascii="Arial" w:hAnsi="Arial" w:cs="Arial"/>
          <w:sz w:val="22"/>
        </w:rPr>
      </w:pPr>
      <w:r>
        <w:rPr>
          <w:rFonts w:cs="Arial" w:ascii="Arial" w:hAnsi="Arial"/>
          <w:sz w:val="22"/>
        </w:rPr>
        <w:t>Circulate market specific spot price language to Holmes/Estrems for review/comment (Castano)</w:t>
      </w:r>
    </w:p>
    <w:p>
      <w:pPr>
        <w:pStyle w:val="Normal"/>
        <w:numPr>
          <w:ilvl w:val="0"/>
          <w:numId w:val="1"/>
        </w:numPr>
        <w:rPr>
          <w:rFonts w:ascii="Arial" w:hAnsi="Arial" w:cs="Arial"/>
          <w:sz w:val="22"/>
        </w:rPr>
      </w:pPr>
      <w:r>
        <w:rPr>
          <w:rFonts w:cs="Arial" w:ascii="Arial" w:hAnsi="Arial"/>
          <w:sz w:val="22"/>
        </w:rPr>
        <w:t>Work with ENA Legal re:  standard contract language including netting/set-off language; delivery point language; force majeure definition, events of default/remedies; etc. (Keller/Castano/Hodge/St. Clair)</w:t>
      </w:r>
    </w:p>
    <w:p>
      <w:pPr>
        <w:pStyle w:val="Normal"/>
        <w:numPr>
          <w:ilvl w:val="0"/>
          <w:numId w:val="1"/>
        </w:numPr>
        <w:rPr>
          <w:rFonts w:ascii="Arial" w:hAnsi="Arial" w:cs="Arial"/>
          <w:sz w:val="22"/>
        </w:rPr>
      </w:pPr>
      <w:r>
        <w:rPr>
          <w:rFonts w:cs="Arial" w:ascii="Arial" w:hAnsi="Arial"/>
          <w:sz w:val="22"/>
        </w:rPr>
        <w:t>Create baseline credit parameters/credit matrix, including parameters for inclusion of MAC and other credit clauses (Bradford/Furey)</w:t>
      </w:r>
    </w:p>
    <w:p>
      <w:pPr>
        <w:pStyle w:val="Normal"/>
        <w:numPr>
          <w:ilvl w:val="0"/>
          <w:numId w:val="1"/>
        </w:numPr>
        <w:rPr>
          <w:rFonts w:ascii="Arial" w:hAnsi="Arial" w:cs="Arial"/>
          <w:sz w:val="22"/>
        </w:rPr>
      </w:pPr>
      <w:r>
        <w:rPr>
          <w:rFonts w:cs="Arial" w:ascii="Arial" w:hAnsi="Arial"/>
          <w:sz w:val="22"/>
        </w:rPr>
        <w:t>“</w:t>
      </w:r>
      <w:r>
        <w:rPr>
          <w:rFonts w:cs="Arial" w:ascii="Arial" w:hAnsi="Arial"/>
          <w:sz w:val="22"/>
        </w:rPr>
        <w:t>Anticipated Usage” – Are we comfortable with using 12 mos historical as baseline (e.g., cost of obtaining, etc.)  (Holmes/Zdunkewicz;Woodward)</w:t>
      </w:r>
    </w:p>
    <w:p>
      <w:pPr>
        <w:pStyle w:val="Normal"/>
        <w:numPr>
          <w:ilvl w:val="0"/>
          <w:numId w:val="1"/>
        </w:numPr>
        <w:rPr>
          <w:rFonts w:ascii="Arial" w:hAnsi="Arial" w:cs="Arial"/>
          <w:sz w:val="22"/>
        </w:rPr>
      </w:pPr>
      <w:r>
        <w:rPr>
          <w:rFonts w:cs="Arial" w:ascii="Arial" w:hAnsi="Arial"/>
          <w:sz w:val="22"/>
        </w:rPr>
        <w:t>Review excess/deficiency usage language and confirm calculations will be based upon utility; determine whether excess/deficiency will be calculated annually or monthly (Holmes/Zdunkewicz/Wood)</w:t>
      </w:r>
    </w:p>
    <w:p>
      <w:pPr>
        <w:pStyle w:val="Normal"/>
        <w:numPr>
          <w:ilvl w:val="0"/>
          <w:numId w:val="1"/>
        </w:numPr>
        <w:rPr>
          <w:rFonts w:ascii="Arial" w:hAnsi="Arial" w:cs="Arial"/>
          <w:sz w:val="22"/>
        </w:rPr>
      </w:pPr>
      <w:r>
        <w:rPr>
          <w:rFonts w:cs="Arial" w:ascii="Arial" w:hAnsi="Arial"/>
          <w:sz w:val="22"/>
        </w:rPr>
        <w:t>Confirm that “gains” should flow through to Customer if Customer is defaulting party (ENA approach) (Holmes)</w:t>
      </w:r>
    </w:p>
    <w:p>
      <w:pPr>
        <w:pStyle w:val="Normal"/>
        <w:numPr>
          <w:ilvl w:val="0"/>
          <w:numId w:val="1"/>
        </w:numPr>
        <w:rPr>
          <w:rFonts w:ascii="Arial" w:hAnsi="Arial" w:cs="Arial"/>
          <w:sz w:val="22"/>
        </w:rPr>
      </w:pPr>
      <w:r>
        <w:rPr>
          <w:rFonts w:cs="Arial" w:ascii="Arial" w:hAnsi="Arial"/>
          <w:sz w:val="22"/>
        </w:rPr>
        <w:t>Confirm “Operational Change” criteria with Black/Herndon (Holmes)</w:t>
      </w:r>
    </w:p>
    <w:p>
      <w:pPr>
        <w:pStyle w:val="Normal"/>
        <w:numPr>
          <w:ilvl w:val="0"/>
          <w:numId w:val="1"/>
        </w:numPr>
        <w:rPr>
          <w:rFonts w:ascii="Arial" w:hAnsi="Arial" w:cs="Arial"/>
          <w:sz w:val="22"/>
        </w:rPr>
      </w:pPr>
      <w:r>
        <w:rPr>
          <w:rFonts w:cs="Arial" w:ascii="Arial" w:hAnsi="Arial"/>
          <w:sz w:val="22"/>
        </w:rPr>
        <w:t>General Contract Revisions:  Include in redraft (i) concept of “payment upon receipt but in no event later than 10 days from date of issuance of invoice, in whatever form”; (ii) survival of payment obligations; (iii) facility information rider provided by Woodward; (iv) concept that if “change in law” occurs, only affected transactions may be terminated; (v) Master governed by NY law (Castano/Maas)</w:t>
      </w:r>
    </w:p>
    <w:p>
      <w:pPr>
        <w:pStyle w:val="Normal"/>
        <w:numPr>
          <w:ilvl w:val="0"/>
          <w:numId w:val="1"/>
        </w:numPr>
        <w:rPr>
          <w:rFonts w:ascii="Arial" w:hAnsi="Arial" w:cs="Arial"/>
          <w:sz w:val="22"/>
        </w:rPr>
      </w:pPr>
      <w:r>
        <w:rPr>
          <w:rFonts w:cs="Arial" w:ascii="Arial" w:hAnsi="Arial"/>
          <w:sz w:val="22"/>
        </w:rPr>
        <w:t>Determine whether Swap rep should reference only “eligible contract participant” (Keller/Castano)</w:t>
      </w:r>
    </w:p>
    <w:p>
      <w:pPr>
        <w:pStyle w:val="Normal"/>
        <w:numPr>
          <w:ilvl w:val="0"/>
          <w:numId w:val="1"/>
        </w:numPr>
        <w:rPr>
          <w:rFonts w:ascii="Arial" w:hAnsi="Arial" w:cs="Arial"/>
          <w:sz w:val="22"/>
        </w:rPr>
      </w:pPr>
      <w:r>
        <w:rPr>
          <w:rFonts w:cs="Arial" w:ascii="Arial" w:hAnsi="Arial"/>
          <w:sz w:val="22"/>
        </w:rPr>
        <w:t>Run Tax provision by Tax (Ron A.) (Castano)</w:t>
      </w:r>
    </w:p>
    <w:p>
      <w:pPr>
        <w:pStyle w:val="Normal"/>
        <w:numPr>
          <w:ilvl w:val="0"/>
          <w:numId w:val="1"/>
        </w:numPr>
        <w:rPr>
          <w:rFonts w:ascii="Arial" w:hAnsi="Arial" w:cs="Arial"/>
          <w:sz w:val="22"/>
        </w:rPr>
      </w:pPr>
      <w:r>
        <w:rPr>
          <w:rFonts w:cs="Arial" w:ascii="Arial" w:hAnsi="Arial"/>
          <w:sz w:val="22"/>
        </w:rPr>
        <w:t>Review Smith redraft of “Change in Law” language related to “economic benefit”/termination payment, when available (Group)</w:t>
      </w:r>
    </w:p>
    <w:p>
      <w:pPr>
        <w:pStyle w:val="Normal"/>
        <w:numPr>
          <w:ilvl w:val="0"/>
          <w:numId w:val="1"/>
        </w:numPr>
        <w:rPr>
          <w:rFonts w:ascii="Arial" w:hAnsi="Arial" w:cs="Arial"/>
          <w:sz w:val="22"/>
        </w:rPr>
      </w:pPr>
      <w:r>
        <w:rPr>
          <w:rFonts w:cs="Arial" w:ascii="Arial" w:hAnsi="Arial"/>
          <w:sz w:val="22"/>
        </w:rPr>
        <w:t>Review first draft of rules of use re:  short form developed by Richard Z. (Group)</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Thanks for your input.</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MLC</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Cc:  John Maas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2001-05-15T19:13:00Z</dcterms:created>
  <dc:creator>mcastano</dc:creator>
  <dc:description/>
  <dc:language>en-CA</dc:language>
  <cp:lastModifiedBy>mcastano</cp:lastModifiedBy>
  <dcterms:modified xsi:type="dcterms:W3CDTF">2001-05-16T16:32:00Z</dcterms:modified>
  <cp:revision>10</cp:revision>
  <dc:subject/>
  <dc:title> </dc:title>
</cp:coreProperties>
</file>