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Bdr>
          <w:top w:val="single" w:sz="4" w:space="1" w:color="000000"/>
          <w:left w:val="single" w:sz="4" w:space="4" w:color="000000"/>
          <w:bottom w:val="single" w:sz="4" w:space="1" w:color="000000"/>
          <w:right w:val="single" w:sz="4" w:space="4" w:color="000000"/>
        </w:pBdr>
        <w:rPr/>
      </w:pPr>
      <w:r>
        <w:rPr/>
        <w:t>Offshore Services Group Redeployment Summary</w:t>
      </w:r>
    </w:p>
    <w:p>
      <w:pPr>
        <w:pStyle w:val="Normal"/>
        <w:rPr/>
      </w:pPr>
      <w:r>
        <w:rPr/>
      </w:r>
    </w:p>
    <w:p>
      <w:pPr>
        <w:pStyle w:val="Heading1"/>
        <w:ind w:hanging="0" w:start="0"/>
        <w:rPr/>
      </w:pPr>
      <w:r>
        <w:rPr/>
        <w:t>MEGS</w:t>
      </w:r>
    </w:p>
    <w:p>
      <w:pPr>
        <w:pStyle w:val="Normal"/>
        <w:numPr>
          <w:ilvl w:val="0"/>
          <w:numId w:val="6"/>
        </w:numPr>
        <w:rPr/>
      </w:pPr>
      <w:r>
        <w:rPr/>
        <w:t>Transfer responsibility to Allan Keel (Tom/Lisa).</w:t>
      </w:r>
    </w:p>
    <w:p>
      <w:pPr>
        <w:pStyle w:val="Normal"/>
        <w:rPr/>
      </w:pPr>
      <w:r>
        <w:rPr/>
      </w:r>
    </w:p>
    <w:p>
      <w:pPr>
        <w:pStyle w:val="Heading1"/>
        <w:ind w:hanging="0" w:start="0"/>
        <w:rPr/>
      </w:pPr>
      <w:r>
        <w:rPr/>
        <w:t>Existing Projects</w:t>
      </w:r>
    </w:p>
    <w:p>
      <w:pPr>
        <w:pStyle w:val="Normal"/>
        <w:numPr>
          <w:ilvl w:val="0"/>
          <w:numId w:val="4"/>
        </w:numPr>
        <w:rPr/>
      </w:pPr>
      <w:r>
        <w:rPr/>
        <w:t>Murphy –Decline when asked to re-bid in July. (Kenn)</w:t>
      </w:r>
    </w:p>
    <w:p>
      <w:pPr>
        <w:pStyle w:val="Normal"/>
        <w:numPr>
          <w:ilvl w:val="0"/>
          <w:numId w:val="4"/>
        </w:numPr>
        <w:rPr/>
      </w:pPr>
      <w:r>
        <w:rPr/>
        <w:t>Gunnison –Decline when asked to formally bid in June. (Kevin)</w:t>
      </w:r>
    </w:p>
    <w:p>
      <w:pPr>
        <w:pStyle w:val="Normal"/>
        <w:numPr>
          <w:ilvl w:val="0"/>
          <w:numId w:val="4"/>
        </w:numPr>
        <w:rPr/>
      </w:pPr>
      <w:r>
        <w:rPr/>
        <w:t>Dominion – Decline if asked to re-bid in July. (Kenn)</w:t>
      </w:r>
    </w:p>
    <w:p>
      <w:pPr>
        <w:pStyle w:val="Normal"/>
        <w:numPr>
          <w:ilvl w:val="0"/>
          <w:numId w:val="4"/>
        </w:numPr>
        <w:rPr/>
      </w:pPr>
      <w:r>
        <w:rPr/>
        <w:t>Other Deepwater Infrastructure Deals – stop pursuing.</w:t>
      </w:r>
    </w:p>
    <w:p>
      <w:pPr>
        <w:pStyle w:val="Normal"/>
        <w:numPr>
          <w:ilvl w:val="0"/>
          <w:numId w:val="4"/>
        </w:numPr>
        <w:rPr/>
      </w:pPr>
      <w:r>
        <w:rPr/>
        <w:t>VKRI – continue to actively pursue as part of Producer One (McMoRan, Gryphon, Burlington, etc.).  Mark-to Market opportunities for the wellhead desk. (Tom/Kenn/Kevin/Gary/John).</w:t>
      </w:r>
    </w:p>
    <w:p>
      <w:pPr>
        <w:pStyle w:val="Normal"/>
        <w:numPr>
          <w:ilvl w:val="0"/>
          <w:numId w:val="4"/>
        </w:numPr>
        <w:rPr/>
      </w:pPr>
      <w:r>
        <w:rPr/>
        <w:t>Callon Petroleum/McMoRan – continue to actively pursue bridge/VPP financing with ECR (Phil Ballard, Marshall Eubank, Allan Keel).  (Kenn/Tom).</w:t>
      </w:r>
    </w:p>
    <w:p>
      <w:pPr>
        <w:pStyle w:val="Normal"/>
        <w:rPr/>
      </w:pPr>
      <w:r>
        <w:rPr/>
      </w:r>
    </w:p>
    <w:p>
      <w:pPr>
        <w:pStyle w:val="Heading1"/>
        <w:ind w:hanging="0" w:start="0"/>
        <w:rPr/>
      </w:pPr>
      <w:r>
        <w:rPr/>
        <w:t>Continuing Due-Diligence</w:t>
      </w:r>
    </w:p>
    <w:p>
      <w:pPr>
        <w:pStyle w:val="Normal"/>
        <w:numPr>
          <w:ilvl w:val="0"/>
          <w:numId w:val="5"/>
        </w:numPr>
        <w:rPr/>
      </w:pPr>
      <w:r>
        <w:rPr/>
        <w:t>Valuation of call option on excess platform/pipeline capacity (Kevin/Lisa).</w:t>
      </w:r>
    </w:p>
    <w:p>
      <w:pPr>
        <w:pStyle w:val="Normal"/>
        <w:ind w:start="360" w:end="0"/>
        <w:rPr/>
      </w:pPr>
      <w:r>
        <w:rPr/>
      </w:r>
    </w:p>
    <w:p>
      <w:pPr>
        <w:pStyle w:val="Heading1"/>
        <w:ind w:hanging="0" w:start="0"/>
        <w:rPr/>
      </w:pPr>
      <w:r>
        <w:rPr/>
        <w:t>Market Spin to Deepwater Producer Market</w:t>
      </w:r>
    </w:p>
    <w:p>
      <w:pPr>
        <w:pStyle w:val="Normal"/>
        <w:numPr>
          <w:ilvl w:val="0"/>
          <w:numId w:val="2"/>
        </w:numPr>
        <w:tabs>
          <w:tab w:val="clear" w:pos="720"/>
        </w:tabs>
        <w:ind w:hanging="0" w:start="360" w:end="0"/>
        <w:rPr/>
      </w:pPr>
      <w:r>
        <w:rPr/>
        <w:t>Let producer market know that it has told us that it is not willing to relinquish FPS ownership and control.  As such, Enron will not continue to pursue asset ownership/lease transactions.  However, we may continue to pursue opportunities to jointly market excess capacity or purchase an option on excess shallow and deepwater platform and pipeline capacity.  This would allow us to sell capacity with little or no associated VAR and pursue wellhead desk and finance opportunities.</w:t>
      </w:r>
    </w:p>
    <w:p>
      <w:pPr>
        <w:pStyle w:val="Normal"/>
        <w:rPr/>
      </w:pPr>
      <w:r>
        <w:rPr/>
      </w:r>
    </w:p>
    <w:p>
      <w:pPr>
        <w:pStyle w:val="Heading1"/>
        <w:ind w:hanging="0" w:start="0"/>
        <w:rPr/>
      </w:pPr>
      <w:r>
        <w:rPr/>
        <w:t>Personnel</w:t>
      </w:r>
    </w:p>
    <w:p>
      <w:pPr>
        <w:pStyle w:val="Normal"/>
        <w:numPr>
          <w:ilvl w:val="0"/>
          <w:numId w:val="2"/>
        </w:numPr>
        <w:tabs>
          <w:tab w:val="clear" w:pos="720"/>
        </w:tabs>
        <w:ind w:hanging="360" w:start="720" w:end="0"/>
        <w:rPr/>
      </w:pPr>
      <w:r>
        <w:rPr/>
        <w:t>Tom – focus on transitioning personnel and existing deals.  Evaluate other options (Producer One, Power, EGM).</w:t>
      </w:r>
    </w:p>
    <w:p>
      <w:pPr>
        <w:pStyle w:val="Normal"/>
        <w:numPr>
          <w:ilvl w:val="0"/>
          <w:numId w:val="2"/>
        </w:numPr>
        <w:tabs>
          <w:tab w:val="clear" w:pos="720"/>
        </w:tabs>
        <w:ind w:hanging="360" w:start="720" w:end="0"/>
        <w:rPr/>
      </w:pPr>
      <w:r>
        <w:rPr/>
        <w:t xml:space="preserve">Kevin -  focus on marketing/closing Producer One deals, VKRI opportunities, etc.  Use existing producer and other relationships to market Producer One.  Utilize relationships with infrastructure players to provide transportation, storage, processing, opportunities, etc. to the wellhead desk.  Evaluate other options (EGM??). </w:t>
      </w:r>
    </w:p>
    <w:p>
      <w:pPr>
        <w:pStyle w:val="Normal"/>
        <w:numPr>
          <w:ilvl w:val="0"/>
          <w:numId w:val="2"/>
        </w:numPr>
        <w:tabs>
          <w:tab w:val="clear" w:pos="720"/>
        </w:tabs>
        <w:ind w:hanging="360" w:start="720" w:end="0"/>
        <w:rPr/>
      </w:pPr>
      <w:r>
        <w:rPr/>
        <w:t>Ken – same as Kevin and look at potential opportunity to move into ECR.</w:t>
      </w:r>
    </w:p>
    <w:p>
      <w:pPr>
        <w:pStyle w:val="Normal"/>
        <w:numPr>
          <w:ilvl w:val="0"/>
          <w:numId w:val="2"/>
        </w:numPr>
        <w:tabs>
          <w:tab w:val="clear" w:pos="720"/>
        </w:tabs>
        <w:ind w:hanging="360" w:start="720" w:end="0"/>
        <w:rPr/>
      </w:pPr>
      <w:r>
        <w:rPr/>
        <w:t>Lisa- provide execution for existing deals and market Producer One.  Evaluate other options with ECR or EES.</w:t>
      </w:r>
    </w:p>
    <w:p>
      <w:pPr>
        <w:pStyle w:val="Normal"/>
        <w:numPr>
          <w:ilvl w:val="0"/>
          <w:numId w:val="2"/>
        </w:numPr>
        <w:tabs>
          <w:tab w:val="clear" w:pos="720"/>
        </w:tabs>
        <w:ind w:hanging="360" w:start="720" w:end="0"/>
        <w:rPr/>
      </w:pPr>
      <w:r>
        <w:rPr/>
        <w:t>Sarah/Ryan - ensure that they get good rotations (Done).</w:t>
      </w:r>
    </w:p>
    <w:p>
      <w:pPr>
        <w:pStyle w:val="Normal"/>
        <w:numPr>
          <w:ilvl w:val="0"/>
          <w:numId w:val="2"/>
        </w:numPr>
        <w:tabs>
          <w:tab w:val="clear" w:pos="720"/>
        </w:tabs>
        <w:ind w:hanging="360" w:start="720" w:end="0"/>
        <w:rPr/>
      </w:pPr>
      <w:r>
        <w:rPr/>
        <w:t>Sonah – reassign to another group (Done??).</w:t>
      </w:r>
    </w:p>
    <w:p>
      <w:pPr>
        <w:pStyle w:val="Normal"/>
        <w:numPr>
          <w:ilvl w:val="0"/>
          <w:numId w:val="2"/>
        </w:numPr>
        <w:tabs>
          <w:tab w:val="clear" w:pos="720"/>
        </w:tabs>
        <w:ind w:hanging="360" w:start="720" w:end="0"/>
        <w:rPr/>
      </w:pPr>
      <w:r>
        <w:rPr/>
        <w:t>The group will need analytical support for VKRI models, Producer One presentations, etc. (Hilgert has agreed to make Ryan available if needed).</w:t>
      </w:r>
    </w:p>
    <w:p>
      <w:pPr>
        <w:pStyle w:val="Normal"/>
        <w:rPr/>
      </w:pPr>
      <w:r>
        <w:rPr/>
      </w:r>
    </w:p>
    <w:p>
      <w:pPr>
        <w:pStyle w:val="Heading1"/>
        <w:ind w:hanging="0" w:start="0"/>
        <w:rPr/>
      </w:pPr>
      <w:r>
        <w:rPr/>
        <w:t>Timing</w:t>
      </w:r>
    </w:p>
    <w:p>
      <w:pPr>
        <w:pStyle w:val="Normal"/>
        <w:numPr>
          <w:ilvl w:val="0"/>
          <w:numId w:val="3"/>
        </w:numPr>
        <w:rPr/>
      </w:pPr>
      <w:r>
        <w:rPr/>
        <w:t>Have personnel and deals transitioned by mid-June.</w:t>
      </w:r>
    </w:p>
    <w:p>
      <w:pPr>
        <w:pStyle w:val="Normal"/>
        <w:ind w:start="360" w:end="0"/>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cap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2001-05-31T21:39:00Z</dcterms:created>
  <dc:creator>wbyarge</dc:creator>
  <dc:description/>
  <dc:language>en-CA</dc:language>
  <cp:lastModifiedBy>jmrha</cp:lastModifiedBy>
  <dcterms:modified xsi:type="dcterms:W3CDTF">2001-05-31T21:39:00Z</dcterms:modified>
  <cp:revision>2</cp:revision>
  <dc:subject/>
  <dc:title> Summary</dc:title>
</cp:coreProperties>
</file>