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11" w:type="dxa"/>
        <w:jc w:val="start"/>
        <w:tblInd w:w="47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1774"/>
        <w:gridCol w:w="1535"/>
        <w:gridCol w:w="936"/>
        <w:gridCol w:w="1174"/>
        <w:gridCol w:w="1071"/>
        <w:gridCol w:w="4130"/>
        <w:gridCol w:w="710"/>
        <w:gridCol w:w="846"/>
        <w:gridCol w:w="979"/>
        <w:gridCol w:w="1354"/>
      </w:tblGrid>
      <w:tr>
        <w:trPr>
          <w:trHeight w:val="270" w:hRule="exact"/>
        </w:trPr>
        <w:tc>
          <w:tcPr>
            <w:tcW w:w="17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Heading1"/>
              <w:tabs>
                <w:tab w:val="clear" w:pos="720"/>
              </w:tabs>
              <w:bidi w:val="0"/>
              <w:rPr/>
            </w:pPr>
            <w:r>
              <w:rPr/>
              <w:t>CPARTY_NAME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ENRON_NAME</w:t>
            </w:r>
          </w:p>
        </w:tc>
        <w:tc>
          <w:tcPr>
            <w:tcW w:w="9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AGRMT_STATUS</w:t>
            </w:r>
          </w:p>
        </w:tc>
        <w:tc>
          <w:tcPr>
            <w:tcW w:w="11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AGRMT_DATE</w:t>
            </w:r>
          </w:p>
        </w:tc>
        <w:tc>
          <w:tcPr>
            <w:tcW w:w="10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EXPIRATION_DATE</w:t>
            </w:r>
          </w:p>
        </w:tc>
        <w:tc>
          <w:tcPr>
            <w:tcW w:w="4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TRANSACTION</w:t>
            </w:r>
          </w:p>
        </w:tc>
        <w:tc>
          <w:tcPr>
            <w:tcW w:w="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PROJECT_NAME</w:t>
            </w:r>
          </w:p>
        </w:tc>
        <w:tc>
          <w:tcPr>
            <w:tcW w:w="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PROVISION_TYPE</w:t>
            </w:r>
          </w:p>
        </w:tc>
        <w:tc>
          <w:tcPr>
            <w:tcW w:w="9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PROVISION_TERMS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ECT_CONTACT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Accenture LLP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3/19/2001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3/19/2004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relatioship re EnronOnline - Extends confidntiality obligations to information shared among Accenture, TIBCO, and Enron Net Works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Africa ONE Ltd.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2/15/2001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2/15/2003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Ariba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One or more possible transactions or other business relationships relating to ENronOnline and/or Clickpaper.com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Commerce One,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(i) possible transaction (ii) proposals by Commerce One for the provision of a transaction hub and commercial support for certain of ENW's e-commerce projects, and/or (iii) possible transaction relating to software and intellectual property rights associated with DealBench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  *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3/7/2002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Ejasent,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3/15/2001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3/15/2004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relating to mutual development opportunities relating to e-commerce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Electronic Data Systems Corporation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(i) possible transaction or oro other business relationship relating to EnronOnline and/or (ii) proposals by EDS for the provision of transaction hub and commercial support for certain of ENW's e-commerce projects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GE Global eXchange Services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3/22/2001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3/22/2004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(i) possible transaction or other business relationship relating to EnronOnline (ii) proposals by GXS for the provision of transaction hub and commercial support for certain of ENW's e-commerce projects, and/or (ii) a possible transaction relation to software and intellectual property rights associated with DealBench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i2 Technologies,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1/24/2001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1/24/2003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relationshipre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1/24/2001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Oracle Corporation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2/5/2001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2/5/2004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PricewaterhouseCoopers, LLP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1/31/2001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1/31/2003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1/31/2002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David berberian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SAPMarkets,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3/21/2001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3/21/2004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Sun Microsystems,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Draft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4/2/2001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vusiness relationship relating to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Sun Microsystems, Inc./iPlanet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Draft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4/10/2001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 Net Work's LLC's transaction monitoring project known as DealBench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Sungard Data Systems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Draft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4/13/2001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TIBCO,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2/6/2001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2/6/2004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ENronOnline - Side Letter dated 3/19/2001 signed by TIBCO Software Inc. Acknowledges that TIBCO is contemplating joint effort with Accenture LLP and extends confidentiality obligations to information shared among TIBCO, Accenture and Enron Net Works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2/6/2001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Greg Piper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Vignette Corporation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(i) possible transaction or other business relationship relating to EnronOnline, (ii) proposals by Vignette for the provision of transaction hub and commercial support for certain of ENW's e-commerce projects, and/or 9ii) a possible transaction relating to software and intellectual property rights associated with DealBench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3/7/2002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*  Non-Raids protect only Enron Net Works employees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/mnt/main-storage/datasets/enron-docs/rtf/Offline.rtf</w:t>
    </w:r>
    <w:r>
      <w:rPr>
        <w:sz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/mnt/main-storage/datasets/enron-docs/rtf/Offline.rtf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ind w:hanging="0" w:start="0" w:end="0"/>
      <w:jc w:val="star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b/>
      </w:rPr>
    </w:pPr>
    <w:r>
      <w:rPr>
        <w:b/>
      </w:rPr>
      <w:t xml:space="preserve">Offline Agreements </w:t>
      <w:tab/>
      <w:t>4/17/2001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b/>
      </w:rPr>
    </w:pPr>
    <w:r>
      <w:rPr>
        <w:b/>
      </w:rPr>
      <w:t xml:space="preserve">Offline Agreements </w:t>
      <w:tab/>
      <w:t>4/17/2001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MS Sans Serif" w:cs="Times New Roman"/>
      <w:color w:val="auto"/>
      <w:kern w:val="2"/>
      <w:sz w:val="24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ind w:hanging="0" w:start="0" w:end="0"/>
      <w:jc w:val="center"/>
      <w:textAlignment w:val="auto"/>
      <w:outlineLvl w:val="0"/>
    </w:pPr>
    <w:rPr>
      <w:rFonts w:ascii="Arial" w:hAnsi="Arial"/>
      <w:b/>
      <w:color w:val="000000"/>
      <w:sz w:val="20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4"/>
      <w:lang w:val="en-US" w:eastAsia="en-US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4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587</Words>
  <Characters>0</Characters>
  <CharactersWithSpaces>3348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2001-04-17T14:02:00Z</dcterms:created>
  <dc:creator>kyoung</dc:creator>
  <dc:description/>
  <dc:language>en-US</dc:language>
  <cp:lastModifiedBy/>
  <dcterms:modified xsi:type="dcterms:W3CDTF">2001-04-17T14:07:00Z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kyoung</vt:lpwstr>
  </property>
</Properties>
</file>