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bookmarkEnd w:id="0"/>
      <w:r>
        <mc:AlternateContent>
          <mc:Choice Requires="wps">
            <w:drawing>
              <wp:anchor behindDoc="1" distT="0" distB="0" distL="114935" distR="114935" simplePos="0" locked="0" layoutInCell="0" allowOverlap="1" relativeHeight="3">
                <wp:simplePos x="0" y="0"/>
                <wp:positionH relativeFrom="page">
                  <wp:posOffset>1695450</wp:posOffset>
                </wp:positionH>
                <wp:positionV relativeFrom="page">
                  <wp:posOffset>457200</wp:posOffset>
                </wp:positionV>
                <wp:extent cx="34925" cy="762000"/>
                <wp:effectExtent l="2540" t="1905" r="1270" b="1905"/>
                <wp:wrapNone/>
                <wp:docPr id="1" name=""/>
                <a:graphic xmlns:a="http://schemas.openxmlformats.org/drawingml/2006/main">
                  <a:graphicData uri="http://schemas.microsoft.com/office/word/2010/wordprocessingShape">
                    <wps:wsp>
                      <wps:cNvSpPr/>
                      <wps:spPr>
                        <a:xfrm>
                          <a:off x="0" y="0"/>
                          <a:ext cx="34920" cy="7621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133.5pt;margin-top:36pt;width:2.7pt;height:59.95pt;mso-wrap-style:none;v-text-anchor:middle;mso-position-horizontal-relative:page;mso-position-vertical-relative:page">
                <v:fill o:detectmouseclick="t" type="solid" color2="#202020"/>
                <v:stroke color="white" weight="3240" joinstyle="miter" endcap="flat"/>
                <w10:wrap type="none"/>
              </v:rect>
            </w:pict>
          </mc:Fallback>
        </mc:AlternateContent>
        <mc:AlternateContent>
          <mc:Choice Requires="wps">
            <w:drawing>
              <wp:anchor behindDoc="1" distT="0" distB="0" distL="114935" distR="114935" simplePos="0" locked="0" layoutInCell="0" allowOverlap="1" relativeHeight="4">
                <wp:simplePos x="0" y="0"/>
                <wp:positionH relativeFrom="page">
                  <wp:posOffset>5486400</wp:posOffset>
                </wp:positionH>
                <wp:positionV relativeFrom="page">
                  <wp:posOffset>1463040</wp:posOffset>
                </wp:positionV>
                <wp:extent cx="1676400" cy="34925"/>
                <wp:effectExtent l="1905" t="2540" r="1905" b="1270"/>
                <wp:wrapNone/>
                <wp:docPr id="2" name=""/>
                <a:graphic xmlns:a="http://schemas.openxmlformats.org/drawingml/2006/main">
                  <a:graphicData uri="http://schemas.microsoft.com/office/word/2010/wordprocessingShape">
                    <wps:wsp>
                      <wps:cNvSpPr/>
                      <wps:spPr>
                        <a:xfrm>
                          <a:off x="0" y="0"/>
                          <a:ext cx="1676520" cy="34920"/>
                        </a:xfrm>
                        <a:prstGeom prst="rect">
                          <a:avLst/>
                        </a:prstGeom>
                        <a:solidFill>
                          <a:srgbClr val="dfdfdf"/>
                        </a:solidFill>
                        <a:ln w="3240">
                          <a:solidFill>
                            <a:srgbClr val="ffffff"/>
                          </a:solidFill>
                          <a:miter/>
                        </a:ln>
                      </wps:spPr>
                      <wps:style>
                        <a:lnRef idx="0"/>
                        <a:fillRef idx="0"/>
                        <a:effectRef idx="0"/>
                        <a:fontRef idx="minor"/>
                      </wps:style>
                      <wps:bodyPr/>
                    </wps:wsp>
                  </a:graphicData>
                </a:graphic>
              </wp:anchor>
            </w:drawing>
          </mc:Choice>
          <mc:Fallback>
            <w:pict>
              <v:rect id="shape_0" fillcolor="#dfdfdf" stroked="t" o:allowincell="f" style="position:absolute;margin-left:432pt;margin-top:115.2pt;width:131.95pt;height:2.7pt;mso-wrap-style:none;v-text-anchor:middle;mso-position-horizontal-relative:page;mso-position-vertical-relative:page">
                <v:fill o:detectmouseclick="t" type="solid" color2="#202020"/>
                <v:stroke color="white" weight="3240" joinstyle="miter" endcap="flat"/>
                <w10:wrap type="none"/>
              </v:rect>
            </w:pict>
          </mc:Fallback>
        </mc:AlternateContent>
      </w:r>
      <w:r>
        <w:rPr/>
        <w:t>Meeting Report</w:t>
      </w:r>
    </w:p>
    <w:p>
      <w:pPr>
        <w:pStyle w:val="MessageHeaderFirst"/>
        <w:rPr/>
      </w:pPr>
      <w:r>
        <w:rPr>
          <w:rStyle w:val="MessageHeaderLabel"/>
          <w:spacing w:val="-20"/>
        </w:rPr>
        <w:t>T</w:t>
      </w:r>
      <w:r>
        <w:rPr>
          <w:rStyle w:val="MessageHeaderLabel"/>
        </w:rPr>
        <w:t>o:</w:t>
      </w:r>
      <w:r>
        <w:rPr/>
        <w:tab/>
        <w:t>Attached List</w:t>
      </w:r>
    </w:p>
    <w:p>
      <w:pPr>
        <w:pStyle w:val="MessageHeader"/>
        <w:rPr/>
      </w:pPr>
      <w:r>
        <w:rPr>
          <w:rStyle w:val="MessageHeaderLabel"/>
        </w:rPr>
        <w:t>CC:</w:t>
      </w:r>
      <w:r>
        <w:rPr/>
        <w:tab/>
      </w:r>
    </w:p>
    <w:p>
      <w:pPr>
        <w:pStyle w:val="MessageHeader"/>
        <w:rPr/>
      </w:pPr>
      <w:r>
        <w:rPr>
          <w:rStyle w:val="MessageHeaderLabel"/>
        </w:rPr>
        <w:t>From:</w:t>
      </w:r>
      <w:r>
        <w:rPr/>
        <w:tab/>
        <w:t>Dave Butters, Kathleen Davies</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r>
      <w:r>
        <w:rPr>
          <w:b/>
        </w:rPr>
        <w:t>Standard Physical Bilateral Contract</w:t>
      </w:r>
      <w:r>
        <w:rPr/>
        <w:t xml:space="preserve"> </w:t>
      </w:r>
    </w:p>
    <w:p>
      <w:pPr>
        <w:pStyle w:val="Heading1"/>
        <w:rPr/>
      </w:pPr>
      <w:r>
        <w:rPr/>
        <w:t>In attendance:</w:t>
      </w:r>
    </w:p>
    <w:p>
      <w:pPr>
        <w:pStyle w:val="BodyText"/>
        <w:rPr/>
      </w:pPr>
      <w:r>
        <w:rPr/>
      </w:r>
    </w:p>
    <w:p>
      <w:pPr>
        <w:pStyle w:val="BodyText"/>
        <w:numPr>
          <w:ilvl w:val="0"/>
          <w:numId w:val="6"/>
        </w:numPr>
        <w:rPr/>
      </w:pPr>
      <w:r>
        <w:rPr/>
        <w:t>Barry Chuddy, Sterling Koch, Will Bridge and Murray Hnatyshyn – TransAlta;</w:t>
      </w:r>
    </w:p>
    <w:p>
      <w:pPr>
        <w:pStyle w:val="BodyText"/>
        <w:numPr>
          <w:ilvl w:val="0"/>
          <w:numId w:val="6"/>
        </w:numPr>
        <w:rPr/>
      </w:pPr>
      <w:r>
        <w:rPr/>
        <w:t>Jack Lubek – IEMO</w:t>
      </w:r>
    </w:p>
    <w:p>
      <w:pPr>
        <w:pStyle w:val="BodyText"/>
        <w:numPr>
          <w:ilvl w:val="0"/>
          <w:numId w:val="6"/>
        </w:numPr>
        <w:rPr/>
      </w:pPr>
      <w:r>
        <w:rPr/>
        <w:t>John Rattray – OPGI</w:t>
      </w:r>
    </w:p>
    <w:p>
      <w:pPr>
        <w:pStyle w:val="BodyText"/>
        <w:numPr>
          <w:ilvl w:val="0"/>
          <w:numId w:val="6"/>
        </w:numPr>
        <w:rPr/>
      </w:pPr>
      <w:r>
        <w:rPr/>
        <w:t>Larry Murphy – AMPCO</w:t>
      </w:r>
    </w:p>
    <w:p>
      <w:pPr>
        <w:pStyle w:val="BodyText"/>
        <w:numPr>
          <w:ilvl w:val="0"/>
          <w:numId w:val="6"/>
        </w:numPr>
        <w:rPr/>
      </w:pPr>
      <w:r>
        <w:rPr/>
        <w:t>Dan Pastoric – Energy Advantage</w:t>
      </w:r>
    </w:p>
    <w:p>
      <w:pPr>
        <w:pStyle w:val="BodyText"/>
        <w:numPr>
          <w:ilvl w:val="0"/>
          <w:numId w:val="6"/>
        </w:numPr>
        <w:rPr/>
      </w:pPr>
      <w:r>
        <w:rPr/>
        <w:t>Bill Houston – Fraser Milner</w:t>
      </w:r>
    </w:p>
    <w:p>
      <w:pPr>
        <w:pStyle w:val="BodyText"/>
        <w:numPr>
          <w:ilvl w:val="0"/>
          <w:numId w:val="6"/>
        </w:numPr>
        <w:rPr/>
      </w:pPr>
      <w:r>
        <w:rPr/>
        <w:t>Rob Cary</w:t>
      </w:r>
    </w:p>
    <w:p>
      <w:pPr>
        <w:pStyle w:val="Heading1"/>
        <w:rPr/>
      </w:pPr>
      <w:r>
        <w:rPr/>
        <w:t>Notes</w:t>
      </w:r>
    </w:p>
    <w:p>
      <w:pPr>
        <w:pStyle w:val="BodyText"/>
        <w:rPr/>
      </w:pPr>
      <w:r>
        <w:rPr/>
      </w:r>
    </w:p>
    <w:p>
      <w:pPr>
        <w:pStyle w:val="Normal"/>
        <w:numPr>
          <w:ilvl w:val="0"/>
          <w:numId w:val="3"/>
        </w:numPr>
        <w:tabs>
          <w:tab w:val="clear" w:pos="720"/>
          <w:tab w:val="left" w:pos="1200" w:leader="none"/>
        </w:tabs>
        <w:ind w:hanging="360" w:start="1200" w:end="-360"/>
        <w:rPr/>
      </w:pPr>
      <w:r>
        <w:rPr/>
        <w:t>On October 11, representatives of electricity suppliers, users and marketers met at the invitation of TransAlta Energy Corporation (acting as facilitators) to discuss whether or not there was a need in the emerging Ontario electricity market for a standard physical bilateral contract, and if so, what kind of organization and process would be appropriate to develop such an instrument.</w:t>
      </w:r>
    </w:p>
    <w:p>
      <w:pPr>
        <w:pStyle w:val="Normal"/>
        <w:rPr/>
      </w:pPr>
      <w:r>
        <w:rPr/>
      </w:r>
    </w:p>
    <w:p>
      <w:pPr>
        <w:pStyle w:val="Normal"/>
        <w:numPr>
          <w:ilvl w:val="0"/>
          <w:numId w:val="2"/>
        </w:numPr>
        <w:tabs>
          <w:tab w:val="clear" w:pos="720"/>
          <w:tab w:val="left" w:pos="1200" w:leader="none"/>
        </w:tabs>
        <w:ind w:hanging="360" w:start="1200" w:end="-360"/>
        <w:rPr/>
      </w:pPr>
      <w:r>
        <w:rPr/>
        <w:t>TransAlta’s representative Barry Chuddy (Director, IP Development) began the meeting. He presented a general overview of the issue assisted by Sterling Koch (TransAlta counsel), who expanded on the issues from his experience with the Western Systems Power Pool (WSPP), Edison Electric Institute (EEI) and Gas Industry Standards Board (GISB). These all use standardized contracts. Mr. Chuddy noted that:</w:t>
      </w:r>
    </w:p>
    <w:p>
      <w:pPr>
        <w:pStyle w:val="Normal"/>
        <w:numPr>
          <w:ilvl w:val="0"/>
          <w:numId w:val="5"/>
        </w:numPr>
        <w:tabs>
          <w:tab w:val="clear" w:pos="720"/>
          <w:tab w:val="left" w:pos="1560" w:leader="none"/>
        </w:tabs>
        <w:ind w:hanging="360" w:start="1560" w:end="-360"/>
        <w:rPr/>
      </w:pPr>
      <w:r>
        <w:rPr/>
        <w:t xml:space="preserve">Most customers prefer physical supply agreements and are reluctant to use derivative type contracts. </w:t>
      </w:r>
    </w:p>
    <w:p>
      <w:pPr>
        <w:pStyle w:val="Normal"/>
        <w:numPr>
          <w:ilvl w:val="0"/>
          <w:numId w:val="5"/>
        </w:numPr>
        <w:tabs>
          <w:tab w:val="clear" w:pos="720"/>
          <w:tab w:val="left" w:pos="1560" w:leader="none"/>
        </w:tabs>
        <w:ind w:hanging="360" w:start="1560" w:end="-360"/>
        <w:rPr/>
      </w:pPr>
      <w:r>
        <w:rPr/>
        <w:t xml:space="preserve">This desire for physical contracts was identified early in restructuring process. </w:t>
      </w:r>
    </w:p>
    <w:p>
      <w:pPr>
        <w:pStyle w:val="Normal"/>
        <w:numPr>
          <w:ilvl w:val="0"/>
          <w:numId w:val="5"/>
        </w:numPr>
        <w:tabs>
          <w:tab w:val="clear" w:pos="720"/>
          <w:tab w:val="left" w:pos="1560" w:leader="none"/>
        </w:tabs>
        <w:ind w:hanging="360" w:start="1560" w:end="-360"/>
        <w:rPr/>
      </w:pPr>
      <w:r>
        <w:rPr/>
        <w:t xml:space="preserve">TransAlta also identified a need early in its Sarnia marketing efforts. </w:t>
      </w:r>
    </w:p>
    <w:p>
      <w:pPr>
        <w:pStyle w:val="Normal"/>
        <w:numPr>
          <w:ilvl w:val="0"/>
          <w:numId w:val="5"/>
        </w:numPr>
        <w:tabs>
          <w:tab w:val="clear" w:pos="720"/>
          <w:tab w:val="left" w:pos="1560" w:leader="none"/>
        </w:tabs>
        <w:ind w:hanging="360" w:start="1560" w:end="-360"/>
        <w:rPr/>
      </w:pPr>
      <w:r>
        <w:rPr/>
        <w:t xml:space="preserve">Development of these types of agreements is not in the IMO mandate. However, any tool that increases the numbers of buyers and sellers will help the market develop. The IMO sees value in a standard physical bilateral contract, but it should not lead the effort. It is willing to “mentor” the development of the product. </w:t>
      </w:r>
    </w:p>
    <w:p>
      <w:pPr>
        <w:pStyle w:val="Normal"/>
        <w:numPr>
          <w:ilvl w:val="0"/>
          <w:numId w:val="5"/>
        </w:numPr>
        <w:tabs>
          <w:tab w:val="clear" w:pos="720"/>
          <w:tab w:val="left" w:pos="1560" w:leader="none"/>
        </w:tabs>
        <w:ind w:hanging="360" w:start="1560" w:end="-360"/>
        <w:rPr/>
      </w:pPr>
      <w:r>
        <w:rPr/>
        <w:t xml:space="preserve">This issue has been discussed/supported at IMO Board and the Ad Hoc Stakeholders Committee </w:t>
      </w:r>
    </w:p>
    <w:p>
      <w:pPr>
        <w:pStyle w:val="Normal"/>
        <w:numPr>
          <w:ilvl w:val="0"/>
          <w:numId w:val="4"/>
        </w:numPr>
        <w:tabs>
          <w:tab w:val="clear" w:pos="720"/>
          <w:tab w:val="left" w:pos="1200" w:leader="none"/>
        </w:tabs>
        <w:ind w:hanging="360" w:start="1200" w:end="-360"/>
        <w:rPr/>
      </w:pPr>
      <w:r>
        <w:rPr/>
        <w:t>The discussion focussed initially on the need for a SPBC. There was general agreement that there was such a need, and the discussion then moved to the various approaches possible: start from scratch in Ontario or use some existing contracts upon which to base an Ontario specific contract. It was agreed that the latter was preferable. Other points:</w:t>
      </w:r>
    </w:p>
    <w:p>
      <w:pPr>
        <w:pStyle w:val="Normal"/>
        <w:numPr>
          <w:ilvl w:val="0"/>
          <w:numId w:val="4"/>
        </w:numPr>
        <w:tabs>
          <w:tab w:val="clear" w:pos="720"/>
          <w:tab w:val="left" w:pos="1560" w:leader="none"/>
        </w:tabs>
        <w:ind w:hanging="360" w:start="1560" w:end="-360"/>
        <w:rPr/>
      </w:pPr>
      <w:r>
        <w:rPr/>
        <w:t>The contract may be used across interconnects;</w:t>
      </w:r>
    </w:p>
    <w:p>
      <w:pPr>
        <w:pStyle w:val="Normal"/>
        <w:numPr>
          <w:ilvl w:val="0"/>
          <w:numId w:val="4"/>
        </w:numPr>
        <w:tabs>
          <w:tab w:val="clear" w:pos="720"/>
          <w:tab w:val="left" w:pos="1560" w:leader="none"/>
        </w:tabs>
        <w:ind w:hanging="360" w:start="1560" w:end="-360"/>
        <w:rPr/>
      </w:pPr>
      <w:r>
        <w:rPr/>
        <w:t>OPG has a contract which might form the basis of an Ontario contract; OPG noted that it was interested in participating;</w:t>
      </w:r>
    </w:p>
    <w:p>
      <w:pPr>
        <w:pStyle w:val="Normal"/>
        <w:numPr>
          <w:ilvl w:val="0"/>
          <w:numId w:val="4"/>
        </w:numPr>
        <w:tabs>
          <w:tab w:val="clear" w:pos="720"/>
          <w:tab w:val="left" w:pos="1560" w:leader="none"/>
        </w:tabs>
        <w:ind w:hanging="360" w:start="1560" w:end="-360"/>
        <w:rPr/>
      </w:pPr>
      <w:r>
        <w:rPr/>
        <w:t>Enron should also be approached, as should all others who may be able to supply “template” contracts  for consideration; these should be circulated ASAP for consideration;</w:t>
      </w:r>
    </w:p>
    <w:p>
      <w:pPr>
        <w:pStyle w:val="Normal"/>
        <w:numPr>
          <w:ilvl w:val="0"/>
          <w:numId w:val="4"/>
        </w:numPr>
        <w:tabs>
          <w:tab w:val="clear" w:pos="720"/>
          <w:tab w:val="left" w:pos="1560" w:leader="none"/>
        </w:tabs>
        <w:ind w:hanging="360" w:start="1560" w:end="-360"/>
        <w:rPr/>
      </w:pPr>
      <w:r>
        <w:rPr/>
        <w:t>However, commitments of time and resources from all participants should be sought first;</w:t>
      </w:r>
    </w:p>
    <w:p>
      <w:pPr>
        <w:pStyle w:val="Normal"/>
        <w:numPr>
          <w:ilvl w:val="0"/>
          <w:numId w:val="4"/>
        </w:numPr>
        <w:tabs>
          <w:tab w:val="clear" w:pos="720"/>
          <w:tab w:val="left" w:pos="1560" w:leader="none"/>
        </w:tabs>
        <w:ind w:hanging="360" w:start="1560" w:end="-360"/>
        <w:rPr/>
      </w:pPr>
      <w:r>
        <w:rPr/>
        <w:t>The IEMO must play a role (the IMO representative agreed to supply a one-page list of IEMO issues to be considered);</w:t>
      </w:r>
    </w:p>
    <w:p>
      <w:pPr>
        <w:pStyle w:val="Normal"/>
        <w:numPr>
          <w:ilvl w:val="0"/>
          <w:numId w:val="4"/>
        </w:numPr>
        <w:tabs>
          <w:tab w:val="clear" w:pos="720"/>
          <w:tab w:val="left" w:pos="1560" w:leader="none"/>
        </w:tabs>
        <w:ind w:hanging="360" w:start="1560" w:end="-360"/>
        <w:rPr/>
      </w:pPr>
      <w:r>
        <w:rPr/>
        <w:t>The group must move quickly – this will be a complex undertaking and timing will be important;</w:t>
      </w:r>
    </w:p>
    <w:p>
      <w:pPr>
        <w:pStyle w:val="Normal"/>
        <w:numPr>
          <w:ilvl w:val="0"/>
          <w:numId w:val="4"/>
        </w:numPr>
        <w:tabs>
          <w:tab w:val="clear" w:pos="720"/>
          <w:tab w:val="left" w:pos="1560" w:leader="none"/>
        </w:tabs>
        <w:ind w:hanging="360" w:start="1560" w:end="-360"/>
        <w:rPr/>
      </w:pPr>
      <w:r>
        <w:rPr/>
        <w:t>The stakeholder model employed in many Ontario electricity restructuring issues to date provides a useful way to move ahead;</w:t>
      </w:r>
    </w:p>
    <w:p>
      <w:pPr>
        <w:pStyle w:val="Normal"/>
        <w:numPr>
          <w:ilvl w:val="0"/>
          <w:numId w:val="4"/>
        </w:numPr>
        <w:tabs>
          <w:tab w:val="clear" w:pos="720"/>
          <w:tab w:val="left" w:pos="1560" w:leader="none"/>
        </w:tabs>
        <w:ind w:hanging="360" w:start="1560" w:end="-360"/>
        <w:rPr/>
      </w:pPr>
      <w:r>
        <w:rPr/>
        <w:t>A steering committee supported by a technical group must be set up; based on experience, the working group will change as different levels of expertise will be required at each stage of the process;</w:t>
      </w:r>
    </w:p>
    <w:p>
      <w:pPr>
        <w:pStyle w:val="Normal"/>
        <w:numPr>
          <w:ilvl w:val="0"/>
          <w:numId w:val="4"/>
        </w:numPr>
        <w:tabs>
          <w:tab w:val="clear" w:pos="720"/>
          <w:tab w:val="left" w:pos="1560" w:leader="none"/>
        </w:tabs>
        <w:ind w:hanging="360" w:start="1560" w:end="-360"/>
        <w:rPr/>
      </w:pPr>
      <w:r>
        <w:rPr/>
        <w:t>The next meeting should include both groups, and work to specific agenda;</w:t>
      </w:r>
    </w:p>
    <w:p>
      <w:pPr>
        <w:pStyle w:val="Normal"/>
        <w:numPr>
          <w:ilvl w:val="0"/>
          <w:numId w:val="4"/>
        </w:numPr>
        <w:tabs>
          <w:tab w:val="clear" w:pos="720"/>
          <w:tab w:val="left" w:pos="1560" w:leader="none"/>
        </w:tabs>
        <w:ind w:hanging="360" w:start="1560" w:end="-360"/>
        <w:rPr/>
      </w:pPr>
      <w:r>
        <w:rPr/>
        <w:t>Dan Pastoric undertook to raise this at the IEMO Stakeholders Committee</w:t>
      </w:r>
    </w:p>
    <w:p>
      <w:pPr>
        <w:pStyle w:val="Normal"/>
        <w:numPr>
          <w:ilvl w:val="0"/>
          <w:numId w:val="4"/>
        </w:numPr>
        <w:tabs>
          <w:tab w:val="clear" w:pos="720"/>
          <w:tab w:val="left" w:pos="1560" w:leader="none"/>
        </w:tabs>
        <w:ind w:hanging="360" w:start="1560" w:end="-360"/>
        <w:rPr/>
      </w:pPr>
      <w:r>
        <w:rPr/>
        <w:t>It was agreed that an initial work objective was an important precursor to success;</w:t>
      </w:r>
    </w:p>
    <w:p>
      <w:pPr>
        <w:pStyle w:val="Normal"/>
        <w:numPr>
          <w:ilvl w:val="0"/>
          <w:numId w:val="4"/>
        </w:numPr>
        <w:tabs>
          <w:tab w:val="clear" w:pos="720"/>
          <w:tab w:val="left" w:pos="1080" w:leader="none"/>
        </w:tabs>
        <w:ind w:hanging="360" w:start="1080" w:end="-360"/>
        <w:rPr/>
      </w:pPr>
      <w:r>
        <w:rPr/>
        <w:t>The next meeting will take place on November 9, from 0930 to Noon. OEB/Enterprise will provide logistical support for this meeting.</w:t>
      </w:r>
    </w:p>
    <w:p>
      <w:pPr>
        <w:pStyle w:val="Normal"/>
        <w:ind w:start="1200" w:end="-360"/>
        <w:rPr/>
      </w:pPr>
      <w:r>
        <w:rPr/>
      </w:r>
    </w:p>
    <w:p>
      <w:pPr>
        <w:pStyle w:val="BodyText"/>
        <w:spacing w:before="0" w:after="220"/>
        <w:rPr/>
      </w:pPr>
      <w:r>
        <w:rPr/>
      </w:r>
    </w:p>
    <w:sectPr>
      <w:headerReference w:type="default" r:id="rId2"/>
      <w:headerReference w:type="first" r:id="rId3"/>
      <w:footerReference w:type="default" r:id="rId4"/>
      <w:footerReference w:type="first" r:id="rId5"/>
      <w:type w:val="nextPage"/>
      <w:pgSz w:w="12240" w:h="15840"/>
      <w:pgMar w:left="1800" w:right="1800" w:gutter="0" w:header="965" w:top="1685"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mc:AlternateContent>
        <mc:Choice Requires="wps">
          <w:drawing>
            <wp:anchor behindDoc="1" distT="0" distB="0" distL="114935" distR="114300" simplePos="0" locked="0" layoutInCell="0" allowOverlap="1" relativeHeight="2">
              <wp:simplePos x="0" y="0"/>
              <wp:positionH relativeFrom="page">
                <wp:posOffset>457200</wp:posOffset>
              </wp:positionH>
              <wp:positionV relativeFrom="paragraph">
                <wp:posOffset>635</wp:posOffset>
              </wp:positionV>
              <wp:extent cx="3502025" cy="609600"/>
              <wp:effectExtent l="635" t="0" r="0" b="0"/>
              <wp:wrapNone/>
              <wp:docPr id="3" name=""/>
              <a:graphic xmlns:a="http://schemas.openxmlformats.org/drawingml/2006/main">
                <a:graphicData uri="http://schemas.microsoft.com/office/word/2010/wordprocessingShape">
                  <wps:wsp>
                    <wps:cNvSpPr/>
                    <wps:spPr>
                      <a:xfrm>
                        <a:off x="0" y="0"/>
                        <a:ext cx="3502080" cy="609480"/>
                      </a:xfrm>
                      <a:prstGeom prst="rect">
                        <a:avLst/>
                      </a:prstGeom>
                      <a:solidFill>
                        <a:srgbClr val="dfdfdf"/>
                      </a:solidFill>
                      <a:ln w="0">
                        <a:noFill/>
                      </a:ln>
                    </wps:spPr>
                    <wps:style>
                      <a:lnRef idx="0"/>
                      <a:fillRef idx="0"/>
                      <a:effectRef idx="0"/>
                      <a:fontRef idx="minor"/>
                    </wps:style>
                    <wps:bodyPr/>
                  </wps:wsp>
                </a:graphicData>
              </a:graphic>
            </wp:anchor>
          </w:drawing>
        </mc:Choice>
        <mc:Fallback>
          <w:pict>
            <v:rect id="shape_0" fillcolor="#dfdfdf" stroked="f" o:allowincell="f" style="position:absolute;margin-left:36pt;margin-top:0pt;width:275.7pt;height:47.95pt;mso-wrap-style:none;v-text-anchor:middle;mso-position-horizontal-relative:page">
              <v:fill o:detectmouseclick="t" type="solid" color2="#202020"/>
              <v:stroke color="#3465a4" joinstyle="round" endcap="flat"/>
              <w10:wrap type="none"/>
            </v:rect>
          </w:pict>
        </mc:Fallback>
      </mc:AlternateContent>
    </w: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1200"/>
        </w:tabs>
        <w:ind w:start="12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40" w:end="-3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ind w:hanging="0" w:start="840" w:end="-36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ind w:hanging="0" w:start="840" w:end="-36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ind w:hanging="0" w:start="840" w:end="-36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ind w:hanging="0" w:start="840" w:end="-36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360"/>
      <w:outlineLvl w:val="4"/>
    </w:pPr>
    <w:rPr>
      <w:i/>
      <w:spacing w:val="-2"/>
      <w:kern w:val="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ind w:hanging="0" w:start="840" w:end="-3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ind w:hanging="0" w:start="840" w:end="-360"/>
    </w:pPr>
    <w:rPr/>
  </w:style>
  <w:style w:type="paragraph" w:styleId="CompanyName">
    <w:name w:val="Company Name"/>
    <w:basedOn w:val="Normal"/>
    <w:qFormat/>
    <w:pPr>
      <w:keepLines/>
      <w:spacing w:lineRule="atLeast" w:line="200"/>
      <w:ind w:hanging="0" w:start="840" w:end="-120"/>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eastAsia="zh-CN" w:bidi="hi-I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36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36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40"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FFFFFF"/>
      <w:spacing w:val="20"/>
      <w:sz w:val="48"/>
      <w:vertAlign w:val="superscript"/>
    </w:rPr>
  </w:style>
  <w:style w:type="paragraph" w:styleId="HeaderLeft">
    <w:name w:val="Header Left"/>
    <w:basedOn w:val="Header"/>
    <w:qFormat/>
    <w:pPr>
      <w:suppressLineNumbers/>
      <w:tabs>
        <w:tab w:val="clear" w:pos="-1080"/>
        <w:tab w:val="clear" w:pos="948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2000-10-17T00:40:00Z</dcterms:created>
  <dc:creator>David Butters</dc:creator>
  <dc:description/>
  <dc:language>en-CA</dc:language>
  <cp:lastModifiedBy>David Butters</cp:lastModifiedBy>
  <cp:lastPrinted>2000-10-17T10:05:00Z</cp:lastPrinted>
  <dcterms:modified xsi:type="dcterms:W3CDTF">2000-10-17T11:35:00Z</dcterms:modified>
  <cp:revision>4</cp:revision>
  <dc:subject/>
  <dc:title>Memo</dc:title>
</cp:coreProperties>
</file>