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Commission Agenda for Public Meeting October 11 (Thursday). </w:t>
      </w:r>
      <w:r>
        <w:rPr>
          <w:bCs/>
          <w:color w:val="333399"/>
        </w:rPr>
        <w:t xml:space="preserve">Click for Commission </w:t>
      </w:r>
      <w:hyperlink r:id="rId2">
        <w:r>
          <w:rPr>
            <w:rStyle w:val="Hyperlink"/>
            <w:bCs/>
          </w:rPr>
          <w:t>Agenda</w:t>
        </w:r>
      </w:hyperlink>
      <w:r>
        <w:rPr>
          <w:bCs/>
          <w:color w:val="333399"/>
        </w:rPr>
        <w:t>. The meeting this week promises to be full with several important proceedings on the Consent Agenda as below:</w:t>
      </w:r>
    </w:p>
    <w:p>
      <w:pPr>
        <w:pStyle w:val="Header"/>
        <w:numPr>
          <w:ilvl w:val="0"/>
          <w:numId w:val="2"/>
        </w:numPr>
        <w:tabs>
          <w:tab w:val="clear" w:pos="4320"/>
          <w:tab w:val="clear" w:pos="8640"/>
          <w:tab w:val="left" w:pos="1080" w:leader="none"/>
        </w:tabs>
        <w:ind w:hanging="360" w:start="1080" w:end="0"/>
        <w:rPr>
          <w:bCs/>
          <w:color w:val="333399"/>
        </w:rPr>
      </w:pPr>
      <w:r>
        <w:rPr>
          <w:bCs/>
          <w:i/>
          <w:iCs/>
          <w:color w:val="333399"/>
        </w:rPr>
        <w:t>Discussions</w:t>
      </w:r>
      <w:r>
        <w:rPr>
          <w:bCs/>
          <w:color w:val="333399"/>
        </w:rPr>
        <w:t xml:space="preserve"> of Gas Pipeline Operational Flow Orders, GX01-1; Efficient Collection of Data; GX01-2; Generation Interconnection, EX01-5; and Investigation of Terms and Conditions of Public Utility Market-Based Authorizations, EL01-118</w:t>
      </w:r>
    </w:p>
    <w:p>
      <w:pPr>
        <w:pStyle w:val="Header"/>
        <w:numPr>
          <w:ilvl w:val="0"/>
          <w:numId w:val="2"/>
        </w:numPr>
        <w:tabs>
          <w:tab w:val="clear" w:pos="4320"/>
          <w:tab w:val="clear" w:pos="8640"/>
          <w:tab w:val="left" w:pos="1080" w:leader="none"/>
        </w:tabs>
        <w:ind w:hanging="360" w:start="1080" w:end="0"/>
        <w:rPr>
          <w:bCs/>
          <w:color w:val="333399"/>
        </w:rPr>
      </w:pPr>
      <w:r>
        <w:rPr>
          <w:bCs/>
          <w:i/>
          <w:iCs/>
          <w:color w:val="333399"/>
        </w:rPr>
        <w:t xml:space="preserve">Gas </w:t>
      </w:r>
      <w:r>
        <w:rPr>
          <w:bCs/>
          <w:color w:val="333399"/>
        </w:rPr>
        <w:t>orders expected in Northern Natural’s revisions relating to the Carlton premium and surcharges RP01-382; Kinder Morgan’s Order 637 compliance filing following technical conference, RP00-343; Great Lakes Gas’ rehearing on off-system capacity, RP01-397; Cove Point LNG’s project, CP01-77; and Venice Gathering’s request for non-jurisdictional declaration for offshore facilities, CP95-202</w:t>
      </w:r>
    </w:p>
    <w:p>
      <w:pPr>
        <w:pStyle w:val="Header"/>
        <w:numPr>
          <w:ilvl w:val="0"/>
          <w:numId w:val="2"/>
        </w:numPr>
        <w:tabs>
          <w:tab w:val="clear" w:pos="4320"/>
          <w:tab w:val="clear" w:pos="8640"/>
          <w:tab w:val="left" w:pos="1080" w:leader="none"/>
        </w:tabs>
        <w:ind w:hanging="360" w:start="1080" w:end="0"/>
        <w:rPr>
          <w:bCs/>
          <w:color w:val="333399"/>
        </w:rPr>
      </w:pPr>
      <w:r>
        <w:rPr>
          <w:bCs/>
          <w:i/>
          <w:iCs/>
          <w:color w:val="333399"/>
        </w:rPr>
        <w:t>Rulemakings</w:t>
      </w:r>
      <w:r>
        <w:rPr>
          <w:bCs/>
          <w:color w:val="333399"/>
        </w:rPr>
        <w:t xml:space="preserve"> expected for Report of Natural Gas California Market, RM01-9; Standards of Business Practices, RM96-1-019, Reg. Of Short Term Natural Gas Transportation Services, RM98-10-008, and Reg. Of Interstate Natural Gas Transportation Services, RM98-12-008; and Regulations Under OCSLA Governing Movement of Natural Gas and Facilities on Outer Continental Shelf, RM99-5</w:t>
      </w:r>
    </w:p>
    <w:p>
      <w:pPr>
        <w:pStyle w:val="Header"/>
        <w:numPr>
          <w:ilvl w:val="0"/>
          <w:numId w:val="2"/>
        </w:numPr>
        <w:tabs>
          <w:tab w:val="clear" w:pos="4320"/>
          <w:tab w:val="clear" w:pos="8640"/>
          <w:tab w:val="left" w:pos="1080" w:leader="none"/>
        </w:tabs>
        <w:ind w:hanging="360" w:start="1080" w:end="0"/>
        <w:rPr>
          <w:bCs/>
          <w:color w:val="333399"/>
        </w:rPr>
      </w:pPr>
      <w:r>
        <w:rPr>
          <w:bCs/>
          <w:i/>
          <w:iCs/>
          <w:color w:val="333399"/>
        </w:rPr>
        <w:t>Electric and Gas</w:t>
      </w:r>
      <w:r>
        <w:rPr>
          <w:bCs/>
          <w:color w:val="333399"/>
        </w:rPr>
        <w:t xml:space="preserve"> order on Removing Obstacles to Increased Electric Generation and Nat. Gas Supply in the Western U.S., EL01-47</w:t>
      </w:r>
    </w:p>
    <w:p>
      <w:pPr>
        <w:pStyle w:val="Header"/>
        <w:tabs>
          <w:tab w:val="clear" w:pos="4320"/>
          <w:tab w:val="clear" w:pos="8640"/>
        </w:tabs>
        <w:ind w:start="360" w:end="0"/>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Sets Commission Open Meeting Schedule. </w:t>
      </w:r>
      <w:r>
        <w:rPr>
          <w:bCs/>
          <w:color w:val="333399"/>
        </w:rPr>
        <w:t xml:space="preserve">Attached is the Commission public meeting schedule for 2002. </w:t>
      </w:r>
      <w:hyperlink r:id="rId3">
        <w:r>
          <w:rPr>
            <w:rStyle w:val="Hyperlink"/>
            <w:bCs/>
          </w:rPr>
          <w:t>Schedule</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ALJ Appointed to Commission. </w:t>
      </w:r>
      <w:r>
        <w:rPr>
          <w:bCs/>
          <w:color w:val="333399"/>
        </w:rPr>
        <w:t xml:space="preserve">This week Chairman Pat Wood announced his appointment of Jeffie Janette Massey as an ALJ. Judge Massey comes to the Commission from the Social Security Administration in San Antonio, Texas where she served as ALJ. She received her J.D. and B.A. degrees from Southern Methodist University. </w:t>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Reporting of Natural Gas Sales to the California Energy Markets, RM01-09. </w:t>
      </w:r>
      <w:r>
        <w:rPr>
          <w:bCs/>
          <w:color w:val="333399"/>
        </w:rPr>
        <w:t xml:space="preserve">Texaco, Inc. and Texaco Natural Gas, San Diego Gas &amp; Electric, Southern California Gas Company filed for an extension to file responses to FERC’s order imposing reporting requirements on gas sales to California. FERC grants requests for extension to October 5. </w:t>
      </w:r>
      <w:r>
        <w:rPr>
          <w:bCs/>
          <w:i/>
          <w:iCs/>
          <w:color w:val="333399"/>
        </w:rPr>
        <w:t>Note also on Commission Agenda for public meeting next Thursday.</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Midwestern Gas</w:t>
      </w:r>
    </w:p>
    <w:p>
      <w:pPr>
        <w:pStyle w:val="Header"/>
        <w:numPr>
          <w:ilvl w:val="0"/>
          <w:numId w:val="5"/>
        </w:numPr>
        <w:tabs>
          <w:tab w:val="clear" w:pos="4320"/>
          <w:tab w:val="clear" w:pos="8640"/>
          <w:tab w:val="left" w:pos="1080" w:leader="none"/>
        </w:tabs>
        <w:ind w:hanging="360" w:start="1080" w:end="0"/>
        <w:rPr>
          <w:bCs/>
          <w:color w:val="333399"/>
        </w:rPr>
      </w:pPr>
      <w:r>
        <w:rPr>
          <w:bCs/>
          <w:color w:val="333399"/>
        </w:rPr>
        <w:t>Granted waiver of the “shipper must have title” rule for off-system capacity and accepted revised tariff sheets, FRP01-598</w:t>
      </w:r>
    </w:p>
    <w:p>
      <w:pPr>
        <w:pStyle w:val="Header"/>
        <w:numPr>
          <w:ilvl w:val="0"/>
          <w:numId w:val="1"/>
        </w:numPr>
        <w:tabs>
          <w:tab w:val="clear" w:pos="4320"/>
          <w:tab w:val="clear" w:pos="8640"/>
        </w:tabs>
        <w:rPr>
          <w:bCs/>
          <w:color w:val="333399"/>
        </w:rPr>
      </w:pPr>
      <w:r>
        <w:rPr>
          <w:b/>
          <w:color w:val="333399"/>
        </w:rPr>
        <w:t>Northern Border</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Noticed revised tariff sheets to incorporate housekeeping and minor changes to tariff, RP01-614</w:t>
      </w:r>
    </w:p>
    <w:p>
      <w:pPr>
        <w:pStyle w:val="Header"/>
        <w:numPr>
          <w:ilvl w:val="0"/>
          <w:numId w:val="1"/>
        </w:numPr>
        <w:tabs>
          <w:tab w:val="clear" w:pos="4320"/>
          <w:tab w:val="clear" w:pos="8640"/>
        </w:tabs>
        <w:rPr>
          <w:bCs/>
          <w:color w:val="333399"/>
        </w:rPr>
      </w:pPr>
      <w:r>
        <w:rPr>
          <w:b/>
          <w:color w:val="333399"/>
        </w:rPr>
        <w:t>Northern Natural</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Order denies late (by six years) interventions and dismisses the Producer Coalition Group’s request for rehearing for lack of showing. CP95-516</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Grants sale to Wisconsin Gas Company of facilities located in Wisconsin and once acquired will be deemed gathering facilities and will not affect Hinshaw status, CP00-36. Guardian’s request to amend its certificate relating to the construction of the Eagle Lateral by vacating the authorization, CP01-401</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Noticed cancellation of technical conference, RP01-76 and RP01-396</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Accepted compliance filing of FERC’s August 9 order, canceling Rate Schedule T-2 and references, CP01-147</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Noticed modifying FDD and IDD Rate Schedules applicable to storage services, RP02-10</w:t>
      </w:r>
    </w:p>
    <w:p>
      <w:pPr>
        <w:pStyle w:val="Header"/>
        <w:numPr>
          <w:ilvl w:val="0"/>
          <w:numId w:val="1"/>
        </w:numPr>
        <w:tabs>
          <w:tab w:val="clear" w:pos="4320"/>
          <w:tab w:val="clear" w:pos="8640"/>
        </w:tabs>
        <w:rPr>
          <w:bCs/>
          <w:color w:val="333399"/>
        </w:rPr>
      </w:pPr>
      <w:r>
        <w:rPr>
          <w:b/>
          <w:color w:val="333399"/>
        </w:rPr>
        <w:t>Transwestern</w:t>
      </w:r>
    </w:p>
    <w:p>
      <w:pPr>
        <w:pStyle w:val="Header"/>
        <w:numPr>
          <w:ilvl w:val="0"/>
          <w:numId w:val="6"/>
        </w:numPr>
        <w:tabs>
          <w:tab w:val="clear" w:pos="4320"/>
          <w:tab w:val="clear" w:pos="8640"/>
          <w:tab w:val="left" w:pos="1080" w:leader="none"/>
        </w:tabs>
        <w:ind w:hanging="360" w:start="1080" w:end="0"/>
        <w:rPr>
          <w:bCs/>
          <w:color w:val="333399"/>
        </w:rPr>
      </w:pPr>
      <w:r>
        <w:rPr>
          <w:bCs/>
          <w:color w:val="333399"/>
        </w:rPr>
        <w:t>Initial ALJ decision in negotiated rate cases is delayed by Judge Wagner until  October 30. RP97-288-009 / 16</w:t>
      </w:r>
    </w:p>
    <w:p>
      <w:pPr>
        <w:pStyle w:val="Header"/>
        <w:numPr>
          <w:ilvl w:val="0"/>
          <w:numId w:val="6"/>
        </w:numPr>
        <w:tabs>
          <w:tab w:val="clear" w:pos="4320"/>
          <w:tab w:val="clear" w:pos="8640"/>
          <w:tab w:val="left" w:pos="1080" w:leader="none"/>
        </w:tabs>
        <w:ind w:hanging="360" w:start="1080" w:end="0"/>
        <w:rPr>
          <w:bCs/>
          <w:color w:val="333399"/>
        </w:rPr>
      </w:pPr>
      <w:r>
        <w:rPr>
          <w:bCs/>
          <w:color w:val="333399"/>
        </w:rPr>
        <w:t>Noticed complaint filed by TW against Southern California Gas alleging violation of TW’s tariff by failing to pay the appropriate Settlement Base Rates established and approved by SoCalGas as a current firm customer under the Global Settlement. TW requests SoCal Gas pay the applicable settlement base rate dating back to November 1, 1996. RP95-271</w:t>
      </w:r>
    </w:p>
    <w:p>
      <w:pPr>
        <w:pStyle w:val="Header"/>
        <w:numPr>
          <w:ilvl w:val="0"/>
          <w:numId w:val="6"/>
        </w:numPr>
        <w:tabs>
          <w:tab w:val="clear" w:pos="4320"/>
          <w:tab w:val="clear" w:pos="8640"/>
          <w:tab w:val="left" w:pos="1080" w:leader="none"/>
        </w:tabs>
        <w:ind w:hanging="360" w:start="1080" w:end="0"/>
        <w:rPr>
          <w:bCs/>
          <w:color w:val="333399"/>
        </w:rPr>
      </w:pPr>
      <w:r>
        <w:rPr>
          <w:bCs/>
          <w:color w:val="333399"/>
        </w:rPr>
        <w:t>Noticed proposed changes setting factors and calculations used in determining the adjustments to the Settlement Base Rates to be effective November 1, 2001, RP02-11</w:t>
      </w:r>
    </w:p>
    <w:p>
      <w:pPr>
        <w:pStyle w:val="Header"/>
        <w:numPr>
          <w:ilvl w:val="0"/>
          <w:numId w:val="6"/>
        </w:numPr>
        <w:tabs>
          <w:tab w:val="clear" w:pos="4320"/>
          <w:tab w:val="clear" w:pos="8640"/>
          <w:tab w:val="left" w:pos="1080" w:leader="none"/>
        </w:tabs>
        <w:ind w:hanging="360" w:start="1080" w:end="0"/>
        <w:rPr>
          <w:bCs/>
          <w:color w:val="333399"/>
        </w:rPr>
      </w:pPr>
      <w:r>
        <w:rPr>
          <w:bCs/>
          <w:color w:val="333399"/>
        </w:rPr>
        <w:t>Noticed proposed changes to new TCR II Reservation Surcharges to be effective November 1, 2001, RP02-12</w:t>
      </w:r>
    </w:p>
    <w:p>
      <w:pPr>
        <w:pStyle w:val="Header"/>
        <w:numPr>
          <w:ilvl w:val="0"/>
          <w:numId w:val="6"/>
        </w:numPr>
        <w:tabs>
          <w:tab w:val="clear" w:pos="4320"/>
          <w:tab w:val="clear" w:pos="8640"/>
          <w:tab w:val="left" w:pos="1080" w:leader="none"/>
        </w:tabs>
        <w:ind w:hanging="360" w:start="1080" w:end="0"/>
        <w:rPr>
          <w:bCs/>
          <w:color w:val="333399"/>
        </w:rPr>
      </w:pPr>
      <w:r>
        <w:rPr>
          <w:bCs/>
          <w:color w:val="333399"/>
        </w:rPr>
        <w:t>Noticed revisions to Stipulation and Agreement providing annual adjustments to settlement base rates to be effective November 1, 2001, RP02-11</w:t>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
          <w:color w:val="333399"/>
        </w:rPr>
      </w:pPr>
      <w:r>
        <w:rPr>
          <w:b/>
          <w:color w:val="333399"/>
        </w:rPr>
        <w:t xml:space="preserve">Millennium Gets Final Environmental Approval from FERC. </w:t>
      </w:r>
      <w:r>
        <w:rPr>
          <w:bCs/>
          <w:color w:val="333399"/>
        </w:rPr>
        <w:t xml:space="preserve">After four years of waiting, FERC has concluded that the controversial leg of the Millennium project could be built and operated to meet environmental standards, subject to certain mitigating measures. The project, a 373-mile pipeline, would transport Canadian gas under Lake Erie to eastern New York. As for the contested route, FERC recommends that the pipeline follow the ConEd Offset/Taconic Parkway alternative that was proposed by several municipalities in Westchester, NY. It has the advantage of co-location on an existing utility right-of-way for over half its length. This order brings the 714 MMcf/d Millennium project one step closer to certificate, with the application pending before FERC since 1997. The project sponsors are Columbia Gas, TransCanada PipeLines, Westcoast Energy and MCN Energy Group. </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Williams Order Revises Tariff Sheets to Allow Contracting for Minimum Delivery Pressure Obligations With Customers. </w:t>
      </w:r>
      <w:r>
        <w:rPr>
          <w:bCs/>
          <w:color w:val="333399"/>
        </w:rPr>
        <w:t xml:space="preserve">FERC has accepted Williams Gas Pipelines Central’s revised tariff sheets permitting it to contract for minimum delivery pressure obligations with customers on a mutually agreeable and non-discriminatory basis. Initially Williams’ proposal generated a number of concerns by parties in this proceeding particularly with respect to the issue of whether or not a minimum pressure delivery obligation to a customer would adversely affect the pipeline’s ability to serve the needs of its existing customers. In this order, FERC directs Williams to revise its tariff sheets to provide a written explanation upon request to the shipper when it rejects a request for minimum delivery pressure. To date, the Commission has had no general policy requiring written notifications. FERC, however, finds, in this instance, that as a “reasonable business practice,” a customer should be able to receive an explanation when a service option is denied. As modified, the new tariff language allows Williams to compete for new shippers that require minimum delivery pressures on a non-discriminatory basis while protecting existing service through the use of system modeling requirements. </w:t>
      </w:r>
      <w:hyperlink r:id="rId4">
        <w:r>
          <w:rPr>
            <w:rStyle w:val="Hyperlink"/>
            <w:bCs/>
          </w:rPr>
          <w:t>RP01-298</w:t>
        </w:r>
      </w:hyperlink>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Mississippi River Order Grants Clarification on Agreements. </w:t>
      </w:r>
      <w:r>
        <w:rPr>
          <w:bCs/>
          <w:color w:val="333399"/>
        </w:rPr>
        <w:t xml:space="preserve">In this order, FERC states that MRT must treat agreements for sharing capacity release revenue as negotiated rate transactions and file them with FERC as nonconforming service agreements. MRT requested clarification that rather than file all such agreements, it be permitted to reveal the essential elements of negotiated rate transactions on negotiated rate tariff sheets. FERC grants MRT this option. </w:t>
      </w:r>
      <w:hyperlink r:id="rId5">
        <w:r>
          <w:rPr>
            <w:rStyle w:val="Hyperlink"/>
            <w:bCs/>
          </w:rPr>
          <w:t>RP01-292</w:t>
        </w:r>
      </w:hyperlink>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Dominion Order Accepts Shippers’ Trading Contract Imbalances Prior To Netting of Imbalances. </w:t>
      </w:r>
      <w:r>
        <w:rPr>
          <w:bCs/>
          <w:color w:val="333399"/>
        </w:rPr>
        <w:t xml:space="preserve">In an order issued October 1, FERC finds that DTI’s system can allow shippers to trade contract imbalances prior to netting of the imbalances providing greater flexibility in resolving imbalances. DTI initially argued that if shippers are permitted to trade contract-by-contract imbalances prior to the netting of all contracts by operational area, DTI would have to either completely re-write the imbalance netting and trading portions of its computer system or require DTI staff to perform time-consuming manual adjustments to the computer system. On May 25, 2001 FERC issued an order on rehearing rejecting DTI’s argument that allowing a shipper to trade imbalances before it nets imbalances across its own contracts is inconsistent with Order No. 587-G. DTI was directed to file a statement explaining its computer system capability with respect to invoicing, including documentation of imbalances and trading. In this order, FERC is convinced that DTI confirms that it keeps track of imbalances by shipper contract and that it uses this information to support its net imbalance calculations. Therefore, FERC will allow DTI to permit shippers to trade contract imbalances prior to netting and trading of the imbalances. </w:t>
      </w:r>
      <w:hyperlink r:id="rId6">
        <w:r>
          <w:rPr>
            <w:rStyle w:val="Hyperlink"/>
            <w:bCs/>
          </w:rPr>
          <w:t>RP00-601</w:t>
        </w:r>
      </w:hyperlink>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Northwest Pipeline Files for Evergreen Expansion. </w:t>
      </w:r>
      <w:r>
        <w:rPr>
          <w:bCs/>
          <w:color w:val="333399"/>
        </w:rPr>
        <w:t xml:space="preserve">Williams’ Northwest Pipeline filed its application to expand its system at the Canadian border to Washington state adding 28 miles and 276,000 Dth/d of delivery capacity. The Evergreen Expansion Project is expected to cost $240 million. Construction is to begin next summer with an in-service date of 2003. Northwest has three other expansion projects in the works. </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Northwest Pipeline Receives NOI for Environmental Impact Statement for Proposed Rockies Expansion Project. </w:t>
      </w:r>
      <w:r>
        <w:rPr>
          <w:bCs/>
          <w:color w:val="333399"/>
        </w:rPr>
        <w:t xml:space="preserve"> FERC will prepare an environmental impact statement for Northwest Pipeline’s proposed Rockies Expansion Project in Wyoming and Idaho. Northwest would construct six loops totaling around 91 miles of pipeline. </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East Tennessee Receives NOI for Environmental Impact Statement for Proposed Patriot Project. </w:t>
      </w:r>
      <w:r>
        <w:rPr>
          <w:bCs/>
          <w:color w:val="333399"/>
        </w:rPr>
        <w:t>FERC will prepare an environmental impact statement discussing environmental impacts for the East Tennessee proposed project. The Patriot Project will be located in Tennessee, Virginia and North Carolina consisting of an expansion of the existing mainline of about 99.3 miles. CP01-415</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Maritimes Moves Toward Expansion. </w:t>
      </w:r>
      <w:r>
        <w:rPr>
          <w:bCs/>
          <w:color w:val="333399"/>
        </w:rPr>
        <w:t xml:space="preserve">Maritimes &amp; Northeast Pipeline announced it had received nominations of 1.7 Bcf/d of new transportation capacity on the Canadian portion of its pipeline and 1.3 Bcf/d on the U.S. portion in an open season for the proposed $380 million Phase IV project. LDCs, gas-fired electric generators and third-party markets submitted substantial requests for services indicating a sizeable market. The sizeable market, prompted El Paso to plan an entirely new offshore subsea pipeline that would bypass Maritimes and run from Sable Island to New York, New Jersey and Pennsylvania. El Paso states the $1.6 billion Blue Atlantic Transmission System would be 750 miles long and carry up to 1 Bcf/d of gas to U.S. markets starting in first quarter 2005. Maritimes will be ready to deliver new supplies as early as 2004. </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Gulfstream Receives FERC Approval to Begin Construction. </w:t>
      </w:r>
      <w:r>
        <w:rPr>
          <w:bCs/>
          <w:color w:val="333399"/>
        </w:rPr>
        <w:t xml:space="preserve">After two and a half years, Gulfstream has received FERC approval to begin mainline pipeline construction on its 753-mile pipeline project in Florida. Construction of the $1.6 billion pipeline traveling under the Gulf of Mexico from Mississippi and Alabama to Florida began in early June. Deliverability will increase by 1.1 Bcf/d. Gulfstream anticipates an in-service date of June 2002. </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Kinder Morgan, TXU To Build Gas Pipelines For Florida Power Plant. </w:t>
      </w:r>
      <w:r>
        <w:rPr>
          <w:bCs/>
          <w:color w:val="333399"/>
        </w:rPr>
        <w:t>TXU and Kinder Morgan announced the will be constructing 85 miles of pipeline to fuel a gas-fired power plant near Forney, Texas owned by parent, FPL Energy. The power plant should be operational in 2003. The new capacity will be 325,000 MMBtu/d.</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Two New Powder River Basin Pipelines Planned. </w:t>
      </w:r>
      <w:r>
        <w:rPr>
          <w:bCs/>
          <w:color w:val="333399"/>
        </w:rPr>
        <w:t xml:space="preserve">Plans for two new gathering lines were revealed last week, one for Wyoming intrastate and one for an interstate proposed by Williston Basin to travel 245 miles through Wyoming Montana and North Dakota. The two new lines and Northern Border’s proposed Bison Pipeline have a terminus in the vicinity of Gillette, Wyoming. </w:t>
      </w:r>
    </w:p>
    <w:p>
      <w:pPr>
        <w:pStyle w:val="Header"/>
        <w:tabs>
          <w:tab w:val="clear" w:pos="4320"/>
          <w:tab w:val="clear" w:pos="8640"/>
        </w:tabs>
        <w:rPr>
          <w:b/>
          <w:color w:val="333399"/>
        </w:rPr>
      </w:pPr>
      <w:r>
        <w:rPr>
          <w:b/>
          <w:color w:val="333399"/>
        </w:rPr>
      </w:r>
    </w:p>
    <w:p>
      <w:pPr>
        <w:pStyle w:val="Header"/>
        <w:numPr>
          <w:ilvl w:val="0"/>
          <w:numId w:val="1"/>
        </w:numPr>
        <w:tabs>
          <w:tab w:val="clear" w:pos="4320"/>
          <w:tab w:val="clear" w:pos="8640"/>
        </w:tabs>
        <w:rPr>
          <w:b/>
          <w:color w:val="333399"/>
        </w:rPr>
      </w:pPr>
      <w:r>
        <w:rPr>
          <w:b/>
          <w:color w:val="333399"/>
        </w:rPr>
        <w:t xml:space="preserve">Name Change for Mid Louisiana Gas. </w:t>
      </w:r>
      <w:r>
        <w:rPr>
          <w:bCs/>
          <w:color w:val="333399"/>
        </w:rPr>
        <w:t xml:space="preserve">Mid Louisiana Gas filed revised tariff sheets to reflect the corporate name change to Enbridge Pipelines, Inc. The name change signifies that Mid Louisiana is now a subsidiary company of Enbridge Midcoast Energy, Inc. </w:t>
      </w:r>
    </w:p>
    <w:p>
      <w:pPr>
        <w:pStyle w:val="Header"/>
        <w:tabs>
          <w:tab w:val="clear" w:pos="4320"/>
          <w:tab w:val="clear" w:pos="8640"/>
        </w:tabs>
        <w:rPr>
          <w:b/>
          <w:bCs/>
          <w:color w:val="333399"/>
        </w:rPr>
      </w:pPr>
      <w:r>
        <w:rPr>
          <w:b/>
          <w:bCs/>
          <w:color w:val="333399"/>
        </w:rPr>
      </w:r>
    </w:p>
    <w:p>
      <w:pPr>
        <w:pStyle w:val="Header"/>
        <w:tabs>
          <w:tab w:val="clear" w:pos="4320"/>
          <w:tab w:val="clear" w:pos="8640"/>
        </w:tabs>
        <w:jc w:val="center"/>
        <w:rPr>
          <w:b/>
          <w:shadow/>
          <w:color w:val="333399"/>
        </w:rPr>
      </w:pPr>
      <w:r>
        <w:rPr>
          <w:b/>
          <w:shadow/>
          <w:color w:val="333399"/>
        </w:rPr>
        <w:t>California Energy Matters</w:t>
      </w:r>
    </w:p>
    <w:p>
      <w:pPr>
        <w:pStyle w:val="Header"/>
        <w:tabs>
          <w:tab w:val="clear" w:pos="4320"/>
          <w:tab w:val="clear" w:pos="8640"/>
        </w:tabs>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 xml:space="preserve">SoCal Edison-CPUC Solve Utility’s Financial Woes. </w:t>
      </w:r>
      <w:r>
        <w:rPr>
          <w:bCs/>
          <w:color w:val="333399"/>
        </w:rPr>
        <w:t xml:space="preserve">CPUC announced it has reached an agreement with SoCal Edison to allow it to pay off its debts and regain its creditworthiness in exchange for dropping its filed-rate doctrine suit against the state regulatory commission. The terms of the settlement are: Edison will use all case on hand ($2 billion) plus all of its utility revenue over recoverable costs, to pay off its debt (estimated at $3 billion); Edison will not pay any dividends on common stock through 2003; Edison will apply “100% of any recovery it obtains from federal refund proceedings or litigation against sellers to pay down back debt; Edison retail rates will not be lowered through 2003; and no state regulatory changes are made over Edison. </w:t>
      </w:r>
    </w:p>
    <w:p>
      <w:pPr>
        <w:pStyle w:val="Header"/>
        <w:tabs>
          <w:tab w:val="clear" w:pos="4320"/>
          <w:tab w:val="clear" w:pos="8640"/>
        </w:tabs>
        <w:jc w:val="center"/>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Electric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Six Southwestern Utilities Form New Western RTO.</w:t>
      </w:r>
      <w:r>
        <w:rPr>
          <w:bCs/>
          <w:color w:val="333399"/>
        </w:rPr>
        <w:t xml:space="preserve"> Six southwestern utilities have signed an initial memorandum of understanding to ensure the formation of a new regional transmission organization. The new WestConnect RTO replaces the DesertSTAR Arizona Public Service, Salt River Project, El Paso Electric, Public Service Company of New Mexico, Tucson Electric Power and Texas-New Mexico Power. The RTO will be governed by a for-profit board based on policies and procedures from the former organization. It will initially be funded by the utilities but is designed to be self-sufficient and run independently. WestConnect is working with members of other regional RTOs in the West and Pacific Northwest to expand the service area and allow a single western RTO. The tariff and governance schedule will be filed later this month.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Probes PECO Over Transmission System Operation. </w:t>
      </w:r>
      <w:r>
        <w:rPr>
          <w:bCs/>
          <w:color w:val="333399"/>
        </w:rPr>
        <w:t>FERC has directed Exelon corp. and affiliates, PECO Energy, Exelon Generation and Power Team to show cause whether they violated a key section of the Federal Power Act and standards of conduct.  The order seeks to determine whether PECO operated its transmission system in a manner that benefited its affiliate, Power Team and provide information not available to any other user on its system. By operating the transmission system in a preferential manner or sharing non-public information related to the timing and location of maintenance outages with affiliates, PECO may be ordered to disgorge net revenues from the FTR transactions and FERC may impose restrictions on Power Team’s market-based rate authority. IN01-7</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Staff Paper Outlines Market Power Fixes. </w:t>
      </w:r>
      <w:r>
        <w:rPr>
          <w:bCs/>
          <w:color w:val="333399"/>
        </w:rPr>
        <w:t>A more strict market power test will be applied to the 30 requests for renewal of market-based rate authority that currently are awaiting action. FERC has published a paper, “Market-Based Rate Options Paper,” detailing possible short and long term solutions to the use of market power by some market participants to drive prices up. FERC has scheduled a series of workshops on Electricity Market Design and Structure, October 15-19. Market Power</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Legislative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Supreme Court Hears Oral Arguments on Open Access. </w:t>
      </w:r>
      <w:r>
        <w:rPr>
          <w:bCs/>
          <w:color w:val="333399"/>
        </w:rPr>
        <w:t xml:space="preserve">This week, the Supreme Court justices heard oral arguments to challenges of FERC rules adopted in 1996 (Order No. 888) requiring utilities to open their transmission lines to competing wholesale power providers. At issue is the “bundled” versus “unbundled” retail electricity sales. Nine state regulators argued FERC preempted their authority to regulate power sales at retail while Enron Power Marketing maintained that FERC failed to assert its full jurisdiction it could under the 1935 Federal Power Act. Enron argued that FERC should have asserted authority over all wholesale transmission services, whether retail sales are bundled or unbundled. Allowing states to regulate transmission associated with retail sales violates interstate commerce clause. If the court agrees with the state regulators, it will hamper the reshaping of the power grid under the control of the four super RTOs. If the court agrees with Enron, FERC can continue with the RTO rulemaking. FERC contends the Federal Power Act gives it control over all electric transmission that involves origination and consumption in different states and over all the facilities used for that transmission. The court will convene in May and June of next year for the release of opinions and orders.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Senate Hearing and Natural Resources Committee Hears Alaska Proposals.</w:t>
      </w:r>
      <w:r>
        <w:rPr>
          <w:bCs/>
          <w:color w:val="333399"/>
        </w:rPr>
        <w:t xml:space="preserve"> Three possible routes for delivering natural gas from Alaska’s North Slope to the lower 48 states were discussed – all “over-the-top” routes. Gov. Knowles, Alaska supports the Alaska Highway route.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Senate Panel Will Mark Up Security Bill. </w:t>
      </w:r>
      <w:r>
        <w:rPr>
          <w:bCs/>
          <w:color w:val="333399"/>
        </w:rPr>
        <w:t xml:space="preserve"> The Senate Energy and Natural Resources Committee is scheduled to mark up broad legislation next week to tighten the security of the nation’s major energy infrastructure facilities and then resume mark-up of a comprehensive energy bill by the middle of the month. For the security bill, the committee wants the bill to provide for improved security for dams, energy facilities and other resources under the jurisdiction of the Bureau of Reclamation. Proposals from DOE and the energy industry will be considered. Sen. Frank Murkowski (R-AK) is floating an outline of his “Homeland Energy Security Act of 2001” addressing both the protection of the energy infrastructure facilities and domestic supply. Apparently, there are many things in this bill that have nothing to do with infrastructure, however. The committee is scheduling a hearing of the security bill on October 9. </w:t>
      </w:r>
    </w:p>
    <w:p>
      <w:pPr>
        <w:pStyle w:val="Header"/>
        <w:tabs>
          <w:tab w:val="clear" w:pos="4320"/>
          <w:tab w:val="clear" w:pos="8640"/>
        </w:tabs>
        <w:jc w:val="center"/>
        <w:rPr>
          <w:b/>
          <w:shadow/>
          <w:color w:val="333399"/>
        </w:rPr>
      </w:pPr>
      <w:r>
        <w:rPr>
          <w:b/>
          <w:shadow/>
          <w:color w:val="333399"/>
        </w:rPr>
        <w:t>Industry Matters</w:t>
      </w:r>
    </w:p>
    <w:p>
      <w:pPr>
        <w:pStyle w:val="Header"/>
        <w:tabs>
          <w:tab w:val="clear" w:pos="4320"/>
          <w:tab w:val="clear" w:pos="8640"/>
        </w:tabs>
        <w:jc w:val="center"/>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INGAA Recommends Military Assistance for Pipe Security. </w:t>
      </w:r>
      <w:r>
        <w:rPr>
          <w:bCs/>
          <w:color w:val="333399"/>
        </w:rPr>
        <w:t xml:space="preserve">INGAA believes the federal government should be prepared to commit military troops and equipment to protect the nation’s critical natural gas pipeline facilities. In a letter responding to a request for security suggestions from Senate Energy Committee Chairman Jeff Bingaman, INGAA President Jerry Halvorsen urged greater restrictions on sensitive pipeline location information, better cooperation between government and industry on pipeline monitoring issues, and that oversight during this time of heightened security be placed under one federal umbrella agency, the new Office of Homeland Security. INGAA recommends the establishment of an interagency task force for dealing with terrorist threats. Halvorsen said that an additional directive of the Office of Homeland Security could be to provide leadership in assessing physical and cyber-related risks to the energy infrastructure and prioritizing a national response. </w:t>
      </w:r>
    </w:p>
    <w:p>
      <w:pPr>
        <w:pStyle w:val="Header"/>
        <w:tabs>
          <w:tab w:val="clear" w:pos="4320"/>
          <w:tab w:val="clear" w:pos="8640"/>
        </w:tabs>
        <w:rPr>
          <w:b/>
          <w:bCs/>
          <w:shadow/>
          <w:color w:val="333399"/>
        </w:rPr>
      </w:pPr>
      <w:r>
        <w:rPr>
          <w:b/>
          <w:bCs/>
          <w:shadow/>
          <w:color w:val="333399"/>
        </w:rPr>
      </w:r>
    </w:p>
    <w:sectPr>
      <w:footerReference w:type="defaul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Oct-05.doc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ips.ferc.fed.us/Q/CIPS/MISC/CA/CA101101.000.TXT" TargetMode="External"/><Relationship Id="rId3" Type="http://schemas.openxmlformats.org/officeDocument/2006/relationships/hyperlink" Target="http://cips.ferc.fed.us/Q/CIPS/MISC/NR/NR01-48.000.TXT" TargetMode="External"/><Relationship Id="rId4" Type="http://schemas.openxmlformats.org/officeDocument/2006/relationships/hyperlink" Target="http://cips.ferc.fed.us/Q/CIPS/GAS/RP/RP01-298.00C.TXT" TargetMode="External"/><Relationship Id="rId5" Type="http://schemas.openxmlformats.org/officeDocument/2006/relationships/hyperlink" Target="http://cips.ferc.fed.us/Q/CIPS/GAS/RP/RP01-292.00V.TXT" TargetMode="External"/><Relationship Id="rId6" Type="http://schemas.openxmlformats.org/officeDocument/2006/relationships/hyperlink" Target="http://cips.ferc.fed.us/Q/CIPS/GAS/RP/RP00-601.00C.TXT"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2001-10-05T12:06:00Z</dcterms:created>
  <dc:creator>jbutler</dc:creator>
  <dc:description/>
  <dc:language>en-CA</dc:language>
  <cp:lastModifiedBy>jbutler</cp:lastModifiedBy>
  <cp:lastPrinted>2001-10-05T17:02:00Z</cp:lastPrinted>
  <dcterms:modified xsi:type="dcterms:W3CDTF">2001-10-05T19:37:00Z</dcterms:modified>
  <cp:revision>4</cp:revision>
  <dc:subject/>
  <dc:title>General FERC Matters</dc:title>
</cp:coreProperties>
</file>