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start="4320" w:end="0"/>
        <w:outlineLvl w:val="0"/>
        <w:rPr>
          <w:rFonts w:ascii="Zurich BT;Arial" w:hAnsi="Zurich BT;Arial" w:cs="Zurich BT;Arial"/>
          <w:spacing w:val="20"/>
        </w:rPr>
      </w:pPr>
      <w:bookmarkStart w:id="0" w:name="_986200668"/>
      <w:bookmarkStart w:id="1" w:name="_986199480"/>
      <w:bookmarkEnd w:id="0"/>
      <w:bookmarkEnd w:id="1"/>
      <w:r>
        <w:rPr>
          <w:rFonts w:cs="Zurich BT;Arial" w:ascii="Zurich BT;Arial" w:hAnsi="Zurich BT;Arial"/>
          <w:spacing w:val="20"/>
        </w:rPr>
        <w:object w:dxaOrig="5178" w:dyaOrig="166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23.4pt;height:71.35pt" filled="f" o:ole="">
            <v:imagedata r:id="rId3" o:title=""/>
          </v:shape>
          <o:OLEObject Type="Embed" ProgID="" ShapeID="ole_rId2" DrawAspect="Content" ObjectID="_1342348423" r:id="rId2"/>
        </w:object>
      </w:r>
    </w:p>
    <w:p>
      <w:pPr>
        <w:pStyle w:val="Normal"/>
        <w:numPr>
          <w:ilvl w:val="0"/>
          <w:numId w:val="0"/>
        </w:numPr>
        <w:outlineLvl w:val="0"/>
        <w:rPr>
          <w:rFonts w:ascii="Arial" w:hAnsi="Arial" w:cs="Arial"/>
          <w:b/>
          <w:spacing w:val="20"/>
          <w:sz w:val="24"/>
        </w:rPr>
      </w:pPr>
      <w:r>
        <w:rPr>
          <w:rFonts w:cs="Arial" w:ascii="Arial" w:hAnsi="Arial"/>
          <w:b/>
          <w:spacing w:val="20"/>
          <w:sz w:val="24"/>
        </w:rPr>
      </w:r>
    </w:p>
    <w:p>
      <w:pPr>
        <w:pStyle w:val="Normal"/>
        <w:numPr>
          <w:ilvl w:val="0"/>
          <w:numId w:val="0"/>
        </w:numPr>
        <w:outlineLvl w:val="0"/>
        <w:rPr>
          <w:rFonts w:ascii="Arial" w:hAnsi="Arial" w:cs="Arial"/>
          <w:b/>
          <w:sz w:val="24"/>
        </w:rPr>
      </w:pPr>
      <w:r>
        <w:rPr>
          <w:rFonts w:cs="Arial" w:ascii="Arial" w:hAnsi="Arial"/>
          <w:b/>
          <w:sz w:val="24"/>
        </w:rPr>
      </w:r>
    </w:p>
    <w:p>
      <w:pPr>
        <w:pStyle w:val="Normal"/>
        <w:numPr>
          <w:ilvl w:val="0"/>
          <w:numId w:val="0"/>
        </w:numPr>
        <w:outlineLvl w:val="0"/>
        <w:rPr>
          <w:rFonts w:ascii="Arial" w:hAnsi="Arial" w:cs="Arial"/>
          <w:b/>
          <w:sz w:val="24"/>
        </w:rPr>
      </w:pPr>
      <w:r>
        <w:rPr>
          <w:rFonts w:cs="Arial" w:ascii="Arial" w:hAnsi="Arial"/>
          <w:b/>
          <w:sz w:val="24"/>
        </w:rPr>
        <w:t>FOR IMMEDIATE RELEASE</w:t>
      </w:r>
    </w:p>
    <w:p>
      <w:pPr>
        <w:pStyle w:val="Normal"/>
        <w:numPr>
          <w:ilvl w:val="0"/>
          <w:numId w:val="0"/>
        </w:numPr>
        <w:outlineLvl w:val="0"/>
        <w:rPr>
          <w:rFonts w:ascii="Arial" w:hAnsi="Arial" w:cs="Arial"/>
          <w:sz w:val="24"/>
        </w:rPr>
      </w:pPr>
      <w:r>
        <w:rPr>
          <w:rFonts w:cs="Arial" w:ascii="Arial" w:hAnsi="Arial"/>
          <w:sz w:val="24"/>
        </w:rPr>
        <w:t>Contact:</w:t>
        <w:tab/>
        <w:t xml:space="preserve">Mark Stultz </w:t>
      </w:r>
    </w:p>
    <w:p>
      <w:pPr>
        <w:pStyle w:val="Normal"/>
        <w:numPr>
          <w:ilvl w:val="0"/>
          <w:numId w:val="0"/>
        </w:numPr>
        <w:outlineLvl w:val="0"/>
        <w:rPr>
          <w:rFonts w:ascii="Arial" w:hAnsi="Arial" w:cs="Arial"/>
          <w:sz w:val="24"/>
        </w:rPr>
      </w:pPr>
      <w:r>
        <w:rPr>
          <w:rFonts w:cs="Arial" w:ascii="Arial" w:hAnsi="Arial"/>
          <w:sz w:val="24"/>
        </w:rPr>
        <w:t>Phone:</w:t>
        <w:tab/>
        <w:t>202-789-7200</w:t>
      </w:r>
    </w:p>
    <w:p>
      <w:pPr>
        <w:pStyle w:val="Normal"/>
        <w:numPr>
          <w:ilvl w:val="0"/>
          <w:numId w:val="0"/>
        </w:numPr>
        <w:jc w:val="center"/>
        <w:outlineLvl w:val="0"/>
        <w:rPr>
          <w:rFonts w:ascii="Arial" w:hAnsi="Arial" w:cs="Arial"/>
          <w:b/>
          <w:sz w:val="28"/>
        </w:rPr>
      </w:pPr>
      <w:r>
        <w:rPr>
          <w:rFonts w:cs="Arial" w:ascii="Arial" w:hAnsi="Arial"/>
          <w:b/>
          <w:sz w:val="28"/>
        </w:rPr>
      </w:r>
    </w:p>
    <w:p>
      <w:pPr>
        <w:pStyle w:val="Normal"/>
        <w:numPr>
          <w:ilvl w:val="0"/>
          <w:numId w:val="0"/>
        </w:numPr>
        <w:jc w:val="center"/>
        <w:outlineLvl w:val="0"/>
        <w:rPr>
          <w:rFonts w:ascii="Arial" w:hAnsi="Arial" w:cs="Arial"/>
          <w:b/>
          <w:sz w:val="28"/>
        </w:rPr>
      </w:pPr>
      <w:r>
        <w:rPr>
          <w:rFonts w:cs="Arial" w:ascii="Arial" w:hAnsi="Arial"/>
          <w:b/>
          <w:sz w:val="28"/>
        </w:rPr>
        <w:t>In Emergency Motion, EPSA Asks FERC</w:t>
      </w:r>
    </w:p>
    <w:p>
      <w:pPr>
        <w:pStyle w:val="Normal"/>
        <w:numPr>
          <w:ilvl w:val="0"/>
          <w:numId w:val="0"/>
        </w:numPr>
        <w:jc w:val="center"/>
        <w:outlineLvl w:val="0"/>
        <w:rPr>
          <w:rFonts w:ascii="Arial" w:hAnsi="Arial" w:cs="Arial"/>
          <w:b/>
          <w:sz w:val="28"/>
        </w:rPr>
      </w:pPr>
      <w:r>
        <w:rPr>
          <w:rFonts w:cs="Arial" w:ascii="Arial" w:hAnsi="Arial"/>
          <w:b/>
          <w:sz w:val="28"/>
        </w:rPr>
        <w:t>To Prevent California “House of Horrors”</w:t>
      </w:r>
    </w:p>
    <w:p>
      <w:pPr>
        <w:pStyle w:val="Normal"/>
        <w:rPr>
          <w:rFonts w:ascii="Arial" w:hAnsi="Arial" w:cs="Arial"/>
          <w:b/>
          <w:sz w:val="22"/>
        </w:rPr>
      </w:pPr>
      <w:r>
        <w:rPr>
          <w:rFonts w:cs="Arial" w:ascii="Arial" w:hAnsi="Arial"/>
          <w:b/>
          <w:sz w:val="22"/>
        </w:rPr>
      </w:r>
    </w:p>
    <w:p>
      <w:pPr>
        <w:pStyle w:val="BodyText"/>
        <w:rPr/>
      </w:pPr>
      <w:r>
        <w:rPr/>
        <w:t>Washington, D.C., Oct. 30, 2000</w:t>
      </w:r>
      <w:r>
        <w:rPr>
          <w:sz w:val="24"/>
        </w:rPr>
        <w:t xml:space="preserve"> –- The Electric Power Supply Association (EPSA) today asked the Federal Energy Regulatory Commission (FERC) to grant an emergency cease and desist order against harmful market manipulations by the California Independent System Operator (CAISO).</w:t>
      </w:r>
    </w:p>
    <w:p>
      <w:pPr>
        <w:pStyle w:val="BodyText"/>
        <w:rPr>
          <w:sz w:val="24"/>
        </w:rPr>
      </w:pPr>
      <w:r>
        <w:rPr>
          <w:sz w:val="24"/>
        </w:rPr>
      </w:r>
    </w:p>
    <w:p>
      <w:pPr>
        <w:pStyle w:val="BodyText"/>
        <w:rPr>
          <w:sz w:val="24"/>
        </w:rPr>
      </w:pPr>
      <w:r>
        <w:rPr>
          <w:sz w:val="24"/>
        </w:rPr>
        <w:t>“</w:t>
      </w:r>
      <w:r>
        <w:rPr>
          <w:sz w:val="24"/>
        </w:rPr>
        <w:t>FERC should not let California become a house of horrors this Halloween for those companies best positioned to alleviate the state’s electricity shortages,” said EPSA President Lynne Church.  “Disguised as a treat, last week’s ill-advised action by the CAISO board to further control market prices could ultimately be the biggest trick yet to be played out on the state’s electricity customers.”</w:t>
      </w:r>
    </w:p>
    <w:p>
      <w:pPr>
        <w:pStyle w:val="BodyText"/>
        <w:rPr>
          <w:sz w:val="24"/>
        </w:rPr>
      </w:pPr>
      <w:r>
        <w:rPr>
          <w:sz w:val="24"/>
        </w:rPr>
      </w:r>
    </w:p>
    <w:p>
      <w:pPr>
        <w:pStyle w:val="BodyText"/>
        <w:rPr>
          <w:sz w:val="24"/>
        </w:rPr>
      </w:pPr>
      <w:r>
        <w:rPr>
          <w:sz w:val="24"/>
        </w:rPr>
        <w:t>EPSA’s filing is in response to Thursday’s controversial CAISO board of directors decision, 13-10, to implement a floating, load-differentiated price cap in certain spot markets administered by the ISO.  This represents at least the fourth time the ISO board has addressed this issue since the summer began.</w:t>
      </w:r>
    </w:p>
    <w:p>
      <w:pPr>
        <w:pStyle w:val="BodyText"/>
        <w:rPr>
          <w:sz w:val="24"/>
        </w:rPr>
      </w:pPr>
      <w:r>
        <w:rPr>
          <w:sz w:val="24"/>
        </w:rPr>
      </w:r>
    </w:p>
    <w:p>
      <w:pPr>
        <w:pStyle w:val="BodyText"/>
        <w:rPr>
          <w:sz w:val="24"/>
        </w:rPr>
      </w:pPr>
      <w:r>
        <w:rPr>
          <w:sz w:val="24"/>
        </w:rPr>
        <w:t>“</w:t>
      </w:r>
      <w:r>
        <w:rPr>
          <w:sz w:val="24"/>
        </w:rPr>
        <w:t>The CAISO board’s load-differentiated price cap threatens punitive consequences and chaos,” EPSA said in its motion.</w:t>
      </w:r>
    </w:p>
    <w:p>
      <w:pPr>
        <w:pStyle w:val="BodyText"/>
        <w:rPr>
          <w:sz w:val="24"/>
        </w:rPr>
      </w:pPr>
      <w:r>
        <w:rPr>
          <w:sz w:val="24"/>
        </w:rPr>
      </w:r>
    </w:p>
    <w:p>
      <w:pPr>
        <w:pStyle w:val="BodyText"/>
        <w:rPr>
          <w:sz w:val="24"/>
        </w:rPr>
      </w:pPr>
      <w:r>
        <w:rPr>
          <w:sz w:val="24"/>
        </w:rPr>
        <w:t>“</w:t>
      </w:r>
      <w:r>
        <w:rPr>
          <w:sz w:val="24"/>
        </w:rPr>
        <w:t>The CAISO board obtained no assurances that reliability will be maintained by establishment of punitive price caps that seek to force generators to supply electricity at prices below cost, and that will undoubtedly discourage new investment in additional generating capacity,” according to the filing.</w:t>
      </w:r>
    </w:p>
    <w:p>
      <w:pPr>
        <w:pStyle w:val="BodyText"/>
        <w:rPr>
          <w:sz w:val="24"/>
        </w:rPr>
      </w:pPr>
      <w:r>
        <w:rPr>
          <w:sz w:val="24"/>
        </w:rPr>
      </w:r>
    </w:p>
    <w:p>
      <w:pPr>
        <w:pStyle w:val="BodyText"/>
        <w:rPr>
          <w:sz w:val="24"/>
        </w:rPr>
      </w:pPr>
      <w:r>
        <w:rPr>
          <w:sz w:val="24"/>
        </w:rPr>
        <w:t>“</w:t>
      </w:r>
      <w:r>
        <w:rPr>
          <w:sz w:val="24"/>
        </w:rPr>
        <w:t xml:space="preserve">In the current, politically charged atmosphere, the credibility of the commission’s process for making a fair, reasoned and comprehensive decision, based on a reviewable public record, must be maintained.  The CAISO board’s unilateral action on price caps tears at that credibility.” </w:t>
      </w:r>
    </w:p>
    <w:p>
      <w:pPr>
        <w:pStyle w:val="BodyText"/>
        <w:rPr>
          <w:sz w:val="24"/>
        </w:rPr>
      </w:pPr>
      <w:r>
        <w:rPr>
          <w:sz w:val="24"/>
        </w:rPr>
      </w:r>
    </w:p>
    <w:p>
      <w:pPr>
        <w:pStyle w:val="BodyText"/>
        <w:rPr>
          <w:sz w:val="24"/>
        </w:rPr>
      </w:pPr>
      <w:r>
        <w:rPr>
          <w:sz w:val="24"/>
        </w:rPr>
        <w:t>The floating price cap decision comes less than a week before FERC is scheduled to release an investigative report on the California power market and proposed improvements.  The new price caps would be implemented by the ISO before FERC can hold a scheduled public hearing on its own proposals.</w:t>
      </w:r>
    </w:p>
    <w:p>
      <w:pPr>
        <w:pStyle w:val="BodyText"/>
        <w:rPr>
          <w:sz w:val="24"/>
        </w:rPr>
      </w:pPr>
      <w:r>
        <w:rPr>
          <w:sz w:val="24"/>
        </w:rPr>
      </w:r>
    </w:p>
    <w:p>
      <w:pPr>
        <w:pStyle w:val="BodyText"/>
        <w:jc w:val="center"/>
        <w:rPr>
          <w:sz w:val="24"/>
        </w:rPr>
      </w:pPr>
      <w:r>
        <w:rPr>
          <w:sz w:val="24"/>
        </w:rPr>
        <w:t>-more-</w:t>
      </w:r>
    </w:p>
    <w:p>
      <w:pPr>
        <w:pStyle w:val="BodyText"/>
        <w:rPr>
          <w:sz w:val="24"/>
        </w:rPr>
      </w:pPr>
      <w:r>
        <w:rPr>
          <w:sz w:val="24"/>
        </w:rPr>
      </w:r>
    </w:p>
    <w:p>
      <w:pPr>
        <w:pStyle w:val="BodyText"/>
        <w:rPr>
          <w:sz w:val="24"/>
        </w:rPr>
      </w:pPr>
      <w:r>
        <w:rPr>
          <w:sz w:val="24"/>
        </w:rPr>
      </w:r>
    </w:p>
    <w:p>
      <w:pPr>
        <w:pStyle w:val="BodyText"/>
        <w:rPr>
          <w:sz w:val="24"/>
        </w:rPr>
      </w:pPr>
      <w:r>
        <w:rPr>
          <w:sz w:val="24"/>
        </w:rPr>
        <w:t>“</w:t>
      </w:r>
      <w:r>
        <w:rPr>
          <w:sz w:val="24"/>
        </w:rPr>
        <w:t>The CAISO board acted in obvious disregard for the commission’s orderly processes,” EPSA said.  “What is particularly troubling about the CAISO board’s actions is that they were taken in direct repudiation of its own management’s proposal for settlement discussions.”</w:t>
      </w:r>
    </w:p>
    <w:p>
      <w:pPr>
        <w:pStyle w:val="BodyText"/>
        <w:rPr>
          <w:sz w:val="24"/>
        </w:rPr>
      </w:pPr>
      <w:r>
        <w:rPr>
          <w:sz w:val="24"/>
        </w:rPr>
      </w:r>
    </w:p>
    <w:p>
      <w:pPr>
        <w:pStyle w:val="BodyText"/>
        <w:rPr>
          <w:sz w:val="24"/>
        </w:rPr>
      </w:pPr>
      <w:r>
        <w:rPr>
          <w:sz w:val="24"/>
        </w:rPr>
        <w:t>“</w:t>
      </w:r>
      <w:r>
        <w:rPr>
          <w:sz w:val="24"/>
        </w:rPr>
        <w:t>The commission and participants in the California electricity markets stand on the threshold of important proceedings designed to address structural problems in those markets and reinforce the development of vigorous competition.  The primacy, fairness and efficacy of the commission’s proceedings would be severely compromised if the CAISO board’s unilateral imposition of further prices caps is allowed to take effect on Nov. 3, 2000.”</w:t>
      </w:r>
    </w:p>
    <w:p>
      <w:pPr>
        <w:pStyle w:val="BodyText"/>
        <w:rPr>
          <w:sz w:val="24"/>
        </w:rPr>
      </w:pPr>
      <w:r>
        <w:rPr>
          <w:sz w:val="24"/>
        </w:rPr>
      </w:r>
    </w:p>
    <w:p>
      <w:pPr>
        <w:pStyle w:val="BodyText"/>
        <w:rPr>
          <w:sz w:val="24"/>
        </w:rPr>
      </w:pPr>
      <w:r>
        <w:rPr>
          <w:sz w:val="24"/>
        </w:rPr>
      </w:r>
    </w:p>
    <w:p>
      <w:pPr>
        <w:pStyle w:val="BodyText"/>
        <w:rPr>
          <w:sz w:val="24"/>
        </w:rPr>
      </w:pPr>
      <w:r>
        <w:rPr>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t>-EPSA-</w:t>
      </w:r>
    </w:p>
    <w:p>
      <w:pPr>
        <w:pStyle w:val="Normal"/>
        <w:jc w:val="center"/>
        <w:rPr>
          <w:rFonts w:ascii="Arial" w:hAnsi="Arial" w:cs="Arial"/>
          <w:sz w:val="24"/>
        </w:rPr>
      </w:pPr>
      <w:r>
        <w:rPr>
          <w:rFonts w:cs="Arial" w:ascii="Arial" w:hAnsi="Arial"/>
          <w:sz w:val="24"/>
        </w:rPr>
      </w:r>
    </w:p>
    <w:p>
      <w:pPr>
        <w:pStyle w:val="Normal"/>
        <w:jc w:val="center"/>
        <w:rPr>
          <w:rFonts w:ascii="Arial" w:hAnsi="Arial" w:cs="Arial"/>
          <w:sz w:val="24"/>
        </w:rPr>
      </w:pPr>
      <w:r>
        <w:rPr>
          <w:rFonts w:cs="Arial" w:ascii="Arial" w:hAnsi="Arial"/>
          <w:sz w:val="24"/>
        </w:rPr>
      </w:r>
    </w:p>
    <w:p>
      <w:pPr>
        <w:pStyle w:val="Normal"/>
        <w:rPr/>
      </w:pPr>
      <w:r>
        <w:rPr>
          <w:rFonts w:cs="Arial" w:ascii="Arial" w:hAnsi="Arial"/>
          <w:b/>
          <w:sz w:val="23"/>
        </w:rPr>
        <w:t>Editors Note:</w:t>
      </w:r>
      <w:r>
        <w:rPr>
          <w:rFonts w:cs="Arial" w:ascii="Arial" w:hAnsi="Arial"/>
          <w:sz w:val="23"/>
        </w:rPr>
        <w:t xml:space="preserve"> The complete FERC filing will be available via the EPSA Web site at www.epsa.org, or please contact Simone Byrd at (202) 789-7200, or sbyrd@epsa.org.</w:t>
      </w:r>
    </w:p>
    <w:sectPr>
      <w:footerReference w:type="default" r:id="rId4"/>
      <w:footerReference w:type="first" r:id="rId5"/>
      <w:type w:val="nextPage"/>
      <w:pgSz w:w="12240" w:h="15840"/>
      <w:pgMar w:left="1440" w:right="1440" w:gutter="0" w:header="0" w:top="72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Zurich BT">
    <w:altName w:val="Arial"/>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rPr>
    </w:pPr>
    <w:r>
      <w:rPr>
        <w:rFonts w:cs="Arial" w:ascii="Arial" w:hAnsi="Arial"/>
      </w:rPr>
      <w:t>EPSA is the national trade association representing independent power producers and power marketers active in U.S. and global power markets.  As suppliers of reliable, clean, competitively priced electricity, EPSA members seek to bring the benefits of competition to all electricity customers.</w:t>
    </w:r>
  </w:p>
  <w:p>
    <w:pPr>
      <w:pStyle w:val="Normal"/>
      <w:rPr>
        <w:rFonts w:ascii="Arial" w:hAnsi="Arial" w:cs="Arial"/>
      </w:rPr>
    </w:pPr>
    <w:r>
      <w:rPr>
        <w:rFonts w:cs="Arial" w:ascii="Arial" w:hAnsi="Arial"/>
      </w:rPr>
    </w:r>
  </w:p>
  <w:p>
    <w:pPr>
      <w:pStyle w:val="Normal"/>
      <w:jc w:val="center"/>
      <w:rPr>
        <w:rFonts w:ascii="Zurich BT;Arial" w:hAnsi="Zurich BT;Arial" w:cs="Zurich BT;Arial"/>
      </w:rPr>
    </w:pPr>
    <w:r>
      <w:rPr>
        <w:rFonts w:cs="Zurich BT;Arial" w:ascii="Zurich BT;Arial" w:hAnsi="Zurich BT;Arial"/>
      </w:rPr>
      <w:t>1401 H Street, N.W., Suite 760, Washington, DC 20005</w:t>
    </w:r>
  </w:p>
  <w:p>
    <w:pPr>
      <w:pStyle w:val="Normal"/>
      <w:jc w:val="center"/>
      <w:rPr/>
    </w:pPr>
    <w:r>
      <w:rPr>
        <w:rFonts w:cs="Zurich BT;Arial" w:ascii="Zurich BT;Arial" w:hAnsi="Zurich BT;Arial"/>
      </w:rPr>
      <w:t xml:space="preserve">telephone: (202) 789-7200 </w:t>
    </w:r>
    <w:r>
      <w:rPr>
        <w:rFonts w:eastAsia="Wingdings" w:cs="Wingdings" w:ascii="Wingdings" w:hAnsi="Wingdings"/>
      </w:rPr>
      <w:sym w:font="Wingdings" w:char="f09f"/>
    </w:r>
    <w:r>
      <w:rPr>
        <w:rFonts w:cs="Zurich BT;Arial" w:ascii="Zurich BT;Arial" w:hAnsi="Zurich BT;Arial"/>
      </w:rPr>
      <w:t xml:space="preserve"> facsimile: (202) 789-7201 </w:t>
    </w:r>
    <w:r>
      <w:rPr>
        <w:rFonts w:eastAsia="Wingdings" w:cs="Wingdings" w:ascii="Wingdings" w:hAnsi="Wingdings"/>
      </w:rPr>
      <w:sym w:font="Wingdings" w:char="f09f"/>
    </w:r>
    <w:r>
      <w:rPr>
        <w:rFonts w:cs="Zurich BT;Arial" w:ascii="Zurich BT;Arial" w:hAnsi="Zurich BT;Arial"/>
      </w:rPr>
      <w:t xml:space="preserve"> e-mail: epsa@mindspring.com</w:t>
    </w:r>
  </w:p>
  <w:p>
    <w:pPr>
      <w:pStyle w:val="Normal"/>
      <w:jc w:val="center"/>
      <w:rPr>
        <w:rFonts w:ascii="Zurich BT;Arial" w:hAnsi="Zurich BT;Arial" w:cs="Zurich BT;Arial"/>
        <w:b/>
        <w:i/>
        <w:i/>
        <w:sz w:val="24"/>
      </w:rPr>
    </w:pPr>
    <w:r>
      <w:rPr>
        <w:rFonts w:cs="Zurich BT;Arial" w:ascii="Zurich BT;Arial" w:hAnsi="Zurich BT;Arial"/>
        <w:b/>
        <w:i/>
        <w:sz w:val="24"/>
      </w:rPr>
      <w:t>http://www.epsa.org</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FootnoteText">
    <w:name w:val="footnote text"/>
    <w:basedOn w:val="Normal"/>
    <w:pPr/>
    <w:rPr>
      <w:lang w:eastAsia="en-C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2000-10-27T15:40:00Z</dcterms:created>
  <dc:creator>Janay Miller</dc:creator>
  <dc:description/>
  <dc:language>en-CA</dc:language>
  <cp:lastModifiedBy>epsa</cp:lastModifiedBy>
  <cp:lastPrinted>2000-10-30T15:26:00Z</cp:lastPrinted>
  <dcterms:modified xsi:type="dcterms:W3CDTF">2000-10-30T18:05:00Z</dcterms:modified>
  <cp:revision>12</cp:revision>
  <dc:subject/>
  <dc:title>________ </dc:title>
</cp:coreProperties>
</file>