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6opener"/>
        <w:tabs>
          <w:tab w:val="right" w:pos="-261" w:leader="none"/>
          <w:tab w:val="left" w:pos="900" w:leader="none"/>
        </w:tabs>
        <w:jc w:val="both"/>
        <w:rPr/>
      </w:pPr>
      <w:r>
        <w:rPr>
          <w:sz w:val="16"/>
        </w:rPr>
        <w:tab/>
        <w:t>TO:</w:t>
      </w:r>
      <w:r>
        <w:rPr/>
        <w:tab/>
        <w:t>Regulatory mailing list</w:t>
      </w:r>
    </w:p>
    <w:p>
      <w:pPr>
        <w:pStyle w:val="36opener"/>
        <w:jc w:val="both"/>
        <w:rPr/>
      </w:pPr>
      <w:r>
        <w:rPr/>
      </w:r>
    </w:p>
    <w:p>
      <w:pPr>
        <w:pStyle w:val="36opener"/>
        <w:jc w:val="both"/>
        <w:rPr/>
      </w:pPr>
      <w:r>
        <w:rPr/>
        <w:tab/>
      </w:r>
      <w:r>
        <w:rPr>
          <w:sz w:val="16"/>
        </w:rPr>
        <w:t>FROM:</w:t>
      </w:r>
      <w:r>
        <w:rPr/>
        <w:tab/>
        <w:t>Jim O'Reilly-DC</w:t>
        <w:tab/>
        <w:tab/>
        <w:tab/>
      </w:r>
    </w:p>
    <w:p>
      <w:pPr>
        <w:pStyle w:val="36opener"/>
        <w:jc w:val="both"/>
        <w:rPr/>
      </w:pPr>
      <w:r>
        <w:rPr/>
        <w:tab/>
      </w:r>
      <w:r>
        <w:rPr>
          <w:sz w:val="16"/>
        </w:rPr>
        <w:t>DATE:</w:t>
      </w:r>
      <w:r>
        <w:rPr/>
        <w:tab/>
        <w:t>November 20, 2000</w:t>
      </w:r>
    </w:p>
    <w:p>
      <w:pPr>
        <w:pStyle w:val="37memointervtitle"/>
        <w:rPr/>
      </w:pPr>
      <w:r>
        <w:rPr/>
        <w:t xml:space="preserve">Industry restructuring: regulatory highlights     October 2000 </w:t>
      </w:r>
    </w:p>
    <w:p>
      <w:pPr>
        <w:pStyle w:val="BodyText"/>
        <w:rPr>
          <w:i/>
          <w:i/>
        </w:rPr>
      </w:pPr>
      <w:r>
        <w:rPr/>
        <w:t>The following is a summary of key regulatory and legislative developments related to electric power and natural gas industry restructuring in the U.S. and Canada during the last two months.  As usual, an updated map showing the status of state electric restructuring is attached as Exhibit 1, and the updated timeline of retail access in the states is attached as Exhibit 2.  Exhibit 3 is an exclusive analysis of how the status of retail access is playing a pivotal role in the 2000 U.S. Presidential election.</w:t>
      </w:r>
    </w:p>
    <w:p>
      <w:pPr>
        <w:pStyle w:val="20major"/>
        <w:rPr/>
      </w:pPr>
      <w:r>
        <w:rPr/>
        <w:t>State restructuring initiatives</w:t>
      </w:r>
    </w:p>
    <w:p>
      <w:pPr>
        <w:pStyle w:val="BodyText"/>
        <w:rPr/>
      </w:pPr>
      <w:r>
        <w:rPr>
          <w:b/>
        </w:rPr>
        <w:t xml:space="preserve">FERC </w:t>
      </w:r>
      <w:r>
        <w:rPr/>
        <w:t xml:space="preserve">termed California’s wholesale market structure “seriously flawed” and proposed a series of immediate and longer-term changes to fundamentally alter the rules governing the state’s Independent System Operator and Power Exchange.  The major changes would include eliminating the mandatory PX buy-sell requirement imposed on utilities by state regulators, requiring market participants to schedule 95% of their transactions in the day-ahead markets to reduce chronic under-scheduling, and replacing the ISO and PX stakeholder boards with fully independent boards to eliminate stakeholder influence.  FERC also proposed a $150/mWh “soft” price cap effective until December 31, 2002, and sellers receiving more than the cap would be required to report their bids on a weekly basis and provide FERC with detailed cost information.  See Exhibit 4 for a summary of the immediate remedies FERC is proposing for the California market. </w:t>
      </w:r>
      <w:r>
        <w:rPr>
          <w:b/>
        </w:rPr>
        <w:t xml:space="preserve"> </w:t>
      </w:r>
      <w:r>
        <w:rPr/>
        <w:t>FERC will accept comments on the proposed changes until November 22, and may issue a final order as soon as December 13.  Other state and province restructuring developments included:</w:t>
      </w:r>
    </w:p>
    <w:p>
      <w:pPr>
        <w:pStyle w:val="01parapoint"/>
        <w:numPr>
          <w:ilvl w:val="0"/>
          <w:numId w:val="18"/>
        </w:numPr>
        <w:jc w:val="both"/>
        <w:rPr>
          <w:b/>
        </w:rPr>
      </w:pPr>
      <w:r>
        <w:rPr/>
        <w:t>In</w:t>
      </w:r>
      <w:r>
        <w:rPr>
          <w:b/>
        </w:rPr>
        <w:t xml:space="preserve"> Arkansas</w:t>
      </w:r>
      <w:r>
        <w:rPr/>
        <w:t xml:space="preserve">, the Public Service Commission and four investor-owned utilities asked the state legislature to delay retail competition from January 1, 2002 until at least October 1, 2003.  The PSC staff said continued regulation of electricity prices will keep costs well below competitive market prices for the next several years, and electricity consumers in the state would not see any benefit from restructuring for at least 10 years after retail choice is introduced.  The state’s Attorney General recommended that retail competition should not begin until at least 2005, and perhaps as late as 2007.  </w:t>
      </w:r>
    </w:p>
    <w:p>
      <w:pPr>
        <w:pStyle w:val="01parapoint"/>
        <w:numPr>
          <w:ilvl w:val="0"/>
          <w:numId w:val="18"/>
        </w:numPr>
        <w:jc w:val="both"/>
        <w:rPr>
          <w:b/>
        </w:rPr>
      </w:pPr>
      <w:r>
        <w:rPr/>
        <w:t xml:space="preserve">In </w:t>
      </w:r>
      <w:r>
        <w:rPr>
          <w:b/>
        </w:rPr>
        <w:t>California</w:t>
      </w:r>
      <w:r>
        <w:rPr/>
        <w:t xml:space="preserve">, Pacific Gas &amp; Electric and Southern California Edison are seeking a federal court ruling affirming their right to pass on the higher costs of wholesale power this summer to their customers. State regulators determined in several rulings last year and earlier this year that the state’s restructuring legislation prevents utilities from recovering undercollected balances at the end of the rate freeze period, although they recently agreed to reconsider those decisions.  The utilities asked the U.S. District Court for Northern California to rule that state regulators cannot disallow recovery of purchases from the California Power Exchange because the purchases are FERC-approved wholesale costs. See Exhibit 5 for an analysis of PG&amp;E’s under-recoveries this summer.  Exhibit 6 is a snapshot of customer switching statistics in California in July that shows a large increase in customers returning to utility service.  Exhibit 7 is an overview of U.S. electric and gas switching to date. </w:t>
      </w:r>
    </w:p>
    <w:p>
      <w:pPr>
        <w:pStyle w:val="01parapoint"/>
        <w:numPr>
          <w:ilvl w:val="0"/>
          <w:numId w:val="18"/>
        </w:numPr>
        <w:jc w:val="both"/>
        <w:rPr>
          <w:b/>
        </w:rPr>
      </w:pPr>
      <w:r>
        <w:rPr/>
        <w:t xml:space="preserve">The </w:t>
      </w:r>
      <w:r>
        <w:rPr>
          <w:b/>
        </w:rPr>
        <w:t>Maine</w:t>
      </w:r>
      <w:r>
        <w:rPr/>
        <w:t xml:space="preserve"> commission reinstated a full 12-month standard offer service (SOS) stay requirement for commercial and industrial customers that return to utility service from competitive suppliers.  Customers are still free to opt out of the stay requirement by paying a penalty of one month’s energy costs to the SOS provider.  Regulators had eliminated the stay requirement and penalty provision in August for customers that returned to SOS during non-summer months, but realized customers could still game the system by returning to potentially lower SOS rates during the winter.  </w:t>
      </w:r>
    </w:p>
    <w:p>
      <w:pPr>
        <w:pStyle w:val="01parapoint"/>
        <w:numPr>
          <w:ilvl w:val="0"/>
          <w:numId w:val="18"/>
        </w:numPr>
        <w:jc w:val="both"/>
        <w:rPr>
          <w:b/>
        </w:rPr>
      </w:pPr>
      <w:r>
        <w:rPr>
          <w:b/>
        </w:rPr>
        <w:t>Massachusetts</w:t>
      </w:r>
      <w:r>
        <w:rPr/>
        <w:t xml:space="preserve"> regulators approved large increases in default service rates, which apply to electric customers who have switched to competitive suppliers and returned to utility service.  The increase will range from 3.8 to 6.3 cents/kWh, depending on the utility, and is intended to allow the utilities to pass through to customers the higher market-based rates they have incurred to serve these customers.  The new rates will only be in effect during December, after which new still-to-be-determined market-based rates will take effect.  Regulators are still studying whether to allow similar increases for standard offer service, which applies to customers who have never switched from utility service.</w:t>
      </w:r>
    </w:p>
    <w:p>
      <w:pPr>
        <w:pStyle w:val="01parapoint"/>
        <w:numPr>
          <w:ilvl w:val="0"/>
          <w:numId w:val="18"/>
        </w:numPr>
        <w:jc w:val="both"/>
        <w:rPr>
          <w:b/>
        </w:rPr>
      </w:pPr>
      <w:r>
        <w:rPr/>
        <w:t>In</w:t>
      </w:r>
      <w:r>
        <w:rPr>
          <w:b/>
        </w:rPr>
        <w:t xml:space="preserve"> Missouri</w:t>
      </w:r>
      <w:r>
        <w:rPr/>
        <w:t>, UtiliCorp announced plans to sell its utility network construction, operation and maintenance business through a competitive bid.  The move apparently marks the first instance of splitting asset owner/manager from asset operator in the U.S. distribution business.  The sale would affect about 900 employees that support UtiliCorp’s electricity and natural gas network transmission and distribution operations in seven states.  Initial expressions of interest will be evaluated and a short list developed before the end of the year, with a winning bidder selected by the end of first quarter 2001.  State regulators will have to approve the sale, with the main issues expected to be maintaining service reliability and safety.</w:t>
      </w:r>
    </w:p>
    <w:p>
      <w:pPr>
        <w:pStyle w:val="01parapoint"/>
        <w:numPr>
          <w:ilvl w:val="0"/>
          <w:numId w:val="18"/>
        </w:numPr>
        <w:jc w:val="both"/>
        <w:rPr>
          <w:b/>
        </w:rPr>
      </w:pPr>
      <w:r>
        <w:rPr>
          <w:b/>
        </w:rPr>
        <w:t>Montana</w:t>
      </w:r>
      <w:r>
        <w:rPr/>
        <w:t xml:space="preserve"> regulators are seeking comments on a proposal to extend the implementation of full retail access in the state from July 2002 until July 2004.  The proposal cites the lack of a competitive wholesale electricity market in the state and the need to ensure a firm power supply exists for retail customers at an affordable price as reasons for the delay.  The commission also pointed out that less than 1% of Montana Power’s customers have switched suppliers, despite the fact that the utility expanded its pilot program to all customers in April.  Only one competitive supplier is currently marketing to Montana Power’s residential and small commercial customers, and that supplier recently informed its customers they will be returned to utility service because market prices are above regulated prices. </w:t>
      </w:r>
    </w:p>
    <w:p>
      <w:pPr>
        <w:pStyle w:val="01parapoint"/>
        <w:numPr>
          <w:ilvl w:val="0"/>
          <w:numId w:val="18"/>
        </w:numPr>
        <w:jc w:val="both"/>
        <w:rPr>
          <w:b/>
        </w:rPr>
      </w:pPr>
      <w:r>
        <w:rPr>
          <w:b/>
        </w:rPr>
        <w:t>New York</w:t>
      </w:r>
      <w:r>
        <w:rPr/>
        <w:t xml:space="preserve"> City awarded an affiliate of Consolidated Edison a franchise to provide fiber optic transport services throughout the City.  Consolidated Edison Communications (CEC) plans to install more than 112,000 fiber-strand miles, or 460 route miles, by the end of 2005, bringing CEC’s network within a block and a half of every building in Manhattan.  CEC will route the fiber network along existing Con Ed electric facilities under a complex lease agreement approved in an order issued by state regulators.  To prevent Con Ed from discriminating against non-affiliated companies, the order requires Con Ed to notify and regularly update commission staff when any telecom company contacts Con Ed to inquire about facility access.  If space in conduits or other points of access for competitor(s) is not available, the order requires Con Ed to expand capacity for the competitor(s).  The cost of expansion will be blended with embedded costs and borne equally by all telecom companies accessing Con Ed’s facilities.</w:t>
      </w:r>
    </w:p>
    <w:p>
      <w:pPr>
        <w:pStyle w:val="01parapoint"/>
        <w:numPr>
          <w:ilvl w:val="0"/>
          <w:numId w:val="18"/>
        </w:numPr>
        <w:jc w:val="both"/>
        <w:rPr>
          <w:b/>
        </w:rPr>
      </w:pPr>
      <w:r>
        <w:rPr/>
        <w:t xml:space="preserve">In </w:t>
      </w:r>
      <w:r>
        <w:rPr>
          <w:b/>
        </w:rPr>
        <w:t>Oregon</w:t>
      </w:r>
      <w:r>
        <w:rPr/>
        <w:t xml:space="preserve">, PacifiCorp and Portland General Electric filed plans to provide large commercial and industrial customers with open access and a variety of standard offer options.  The plans were filed to implement a state law that will provide direct access to large commercial and industrial customers beginning October 1, 2001.  Oregon currently has no plans to extend retail choice to smaller commercial and residential customers.  Under PGE’s plan, customers could choose from standard offers that would change daily, monthly, quarterly or annually, and the utility will acquire the power for all standard offer customers in the wholesale market.  PacifiCorp’s customers could choose daily, quarterly or annual standard offers, and the utility will bid out to other suppliers the right to serve customers who select the quarterly and annual offers.  PacifiCorp will obtain electricity in the wholesale market for customers that choose the daily standard offer.    </w:t>
      </w:r>
    </w:p>
    <w:p>
      <w:pPr>
        <w:pStyle w:val="01parapoint"/>
        <w:numPr>
          <w:ilvl w:val="0"/>
          <w:numId w:val="18"/>
        </w:numPr>
        <w:jc w:val="both"/>
        <w:rPr>
          <w:b/>
        </w:rPr>
      </w:pPr>
      <w:r>
        <w:rPr/>
        <w:t xml:space="preserve">In </w:t>
      </w:r>
      <w:r>
        <w:rPr>
          <w:b/>
        </w:rPr>
        <w:t>Pennsylvania,</w:t>
      </w:r>
      <w:r>
        <w:rPr/>
        <w:t xml:space="preserve"> Green Mountain Power is challenging PECO’s recent selection of The New Power Company as the competitive default service (CDS) provider for 300,000 (about 20%) of PECO’s residential customers.  Restructuring plans adopted in the state for most utilities contemplate auctioning off CDS in 20% increments over several years in an effort to encourage a competitive market.  In a process established by state regulators, PECO considered several proposals by companies to serve residential customers who have not switched and awarded a three-year contract to New Power in October.  Green Mountain claims its proposal offers customers electricity at a price 2% less than PECO’s shopping credit, while New Power’s proposal only averages 1.83% less than the shopping credit.  Green Mountain also argues that it will have less environmental impact because it will provide power from much cleaner sources than New Power. </w:t>
      </w:r>
    </w:p>
    <w:p>
      <w:pPr>
        <w:pStyle w:val="20major"/>
        <w:rPr/>
      </w:pPr>
      <w:r>
        <w:rPr/>
        <w:t>FEDERAL restructuring initiatives</w:t>
      </w:r>
    </w:p>
    <w:p>
      <w:pPr>
        <w:pStyle w:val="Normal"/>
        <w:jc w:val="both"/>
        <w:rPr>
          <w:b/>
        </w:rPr>
      </w:pPr>
      <w:r>
        <w:rPr>
          <w:b/>
        </w:rPr>
        <w:t xml:space="preserve">FERC </w:t>
      </w:r>
      <w:r>
        <w:rPr/>
        <w:t xml:space="preserve">released the results of its wholesale market studies in other regions of the U.S., including the Northeast, Southeast, Midwest and Texas.  FERC found that the Midwest and Southeast markets are still dominated by vertically integrated utilities and suffer from a lack of information about the markets.  In the Northeast, FERC continued to cite PJM as a model for other regions, while criticizing the New York and New England markets for ineffective congestion management and after-the-fact price corrections.  FERC also said the Northeast markets are plagued by physical transmission constraints.  The studies suggested a variety of possible market fixes, including eliminating the ability of utilities to reserve transmission capacity for native load, directing formal investigations of companies accused of exerting market power, and standardizing methods used to calculate available transmission capacity.  </w:t>
      </w:r>
    </w:p>
    <w:p>
      <w:pPr>
        <w:pStyle w:val="20major"/>
        <w:rPr/>
      </w:pPr>
      <w:r>
        <w:rPr/>
        <w:t>TRANSMISSION</w:t>
      </w:r>
    </w:p>
    <w:p>
      <w:pPr>
        <w:pStyle w:val="BodyText"/>
        <w:rPr/>
      </w:pPr>
      <w:r>
        <w:rPr>
          <w:b/>
        </w:rPr>
        <w:t>FERC</w:t>
      </w:r>
      <w:r>
        <w:rPr/>
        <w:t xml:space="preserve"> received eight regional transmission organization (RTO) proposals and over 90 other informational filings describing utility efforts to participate in RTOs by the October 16 deadline.  Participants in existing ISOs have until January 16, 2001 to file their plans.  An early read on the filings indicates that many utilities say they need more time to work out details, and the trade press indicates FERC is disappointed by the responses.  One significant development occurred in the West, where Avista, Montana Power, Portland General Electric, Puget Sound and Sierra Pacific filed a proposal to form a for-profit transmission company named TransConnect, which would then become a member of the larger planned RTO West. </w:t>
      </w:r>
    </w:p>
    <w:p>
      <w:pPr>
        <w:pStyle w:val="20major"/>
        <w:rPr/>
      </w:pPr>
      <w:r>
        <w:rPr/>
        <w:t>QUOTES OF THE MONTH</w:t>
      </w:r>
    </w:p>
    <w:p>
      <w:pPr>
        <w:pStyle w:val="BodyText"/>
        <w:rPr/>
      </w:pPr>
      <w:r>
        <w:rPr/>
        <w:t>“</w:t>
      </w:r>
      <w:r>
        <w:rPr/>
        <w:t>You agree with us that California has a problem.  You agree that the marketplace is not competitive.  You agree rates are not reasonable and just.  But you are not willing to do anything about it.”</w:t>
      </w:r>
    </w:p>
    <w:p>
      <w:pPr>
        <w:pStyle w:val="Heading4"/>
        <w:ind w:hanging="0" w:start="0"/>
        <w:rPr/>
      </w:pPr>
      <w:r>
        <w:rPr/>
        <w:t>- California Gov. Gray Davis to FERC</w:t>
      </w:r>
    </w:p>
    <w:p>
      <w:pPr>
        <w:pStyle w:val="BodyText"/>
        <w:rPr/>
      </w:pPr>
      <w:r>
        <w:rPr/>
        <w:t>“</w:t>
      </w:r>
      <w:r>
        <w:rPr/>
        <w:t>Firms are allowed to exercise market power.  It’s not terribly competitive behavior, but it doesn’t break the law.  What’s illegal is if they start talking to one another about it..”</w:t>
      </w:r>
    </w:p>
    <w:p>
      <w:pPr>
        <w:pStyle w:val="Normal"/>
        <w:jc w:val="end"/>
        <w:rPr>
          <w:b/>
        </w:rPr>
      </w:pPr>
      <w:r>
        <w:rPr>
          <w:b/>
        </w:rPr>
        <w:t>- Severin Borenstein, University of California Energy Institute</w:t>
      </w:r>
    </w:p>
    <w:p>
      <w:pPr>
        <w:pStyle w:val="BodyText"/>
        <w:rPr/>
      </w:pPr>
      <w:r>
        <w:rPr/>
        <w:t>“</w:t>
      </w:r>
      <w:r>
        <w:rPr/>
        <w:t>This exceeds any past quarter hands-down.  It was truly an excellent quarter.  California by far was our best market this quarter.”</w:t>
      </w:r>
    </w:p>
    <w:p>
      <w:pPr>
        <w:pStyle w:val="Normal"/>
        <w:jc w:val="end"/>
        <w:rPr>
          <w:b/>
        </w:rPr>
      </w:pPr>
      <w:r>
        <w:rPr>
          <w:b/>
        </w:rPr>
        <w:t>- Calpine VP Rick Barraza</w:t>
      </w:r>
    </w:p>
    <w:p>
      <w:pPr>
        <w:pStyle w:val="01parapoint"/>
        <w:numPr>
          <w:ilvl w:val="0"/>
          <w:numId w:val="0"/>
        </w:numPr>
        <w:ind w:hanging="0" w:start="0"/>
        <w:jc w:val="both"/>
        <w:rPr>
          <w:b/>
        </w:rPr>
      </w:pPr>
      <w:r>
        <w:rPr>
          <w:b/>
        </w:rPr>
        <w:t>BACKGROUND MATERIAL AVAILABLE</w:t>
      </w:r>
    </w:p>
    <w:p>
      <w:pPr>
        <w:pStyle w:val="BodyText"/>
        <w:rPr/>
      </w:pPr>
      <w:r>
        <w:rPr/>
        <w:t>Please contact Jim O’Reilly (DC) if you would like further information on any items described in this update.</w:t>
      </w:r>
    </w:p>
    <w:p>
      <w:pPr>
        <w:pStyle w:val="01parapoint"/>
        <w:numPr>
          <w:ilvl w:val="0"/>
          <w:numId w:val="0"/>
        </w:numPr>
        <w:ind w:hanging="0" w:start="0"/>
        <w:jc w:val="both"/>
        <w:rPr/>
      </w:pPr>
      <w:r>
        <w:rPr/>
      </w:r>
    </w:p>
    <w:p>
      <w:pPr>
        <w:pStyle w:val="01parapoint"/>
        <w:numPr>
          <w:ilvl w:val="0"/>
          <w:numId w:val="0"/>
        </w:numPr>
        <w:spacing w:before="0" w:after="180"/>
        <w:ind w:hanging="0" w:start="0"/>
        <w:jc w:val="both"/>
        <w:rPr>
          <w:rFonts w:eastAsia="Palatino"/>
        </w:rPr>
      </w:pPr>
      <w:r>
        <w:rPr>
          <w:rFonts w:eastAsia="Palatino"/>
        </w:rPr>
        <w:t xml:space="preserve"> </w:t>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abstractNum w:abstractNumId="18">
    <w:lvl w:ilvl="0">
      <w:numFmt w:val="bullet"/>
      <w:lvlText w:val="¶"/>
      <w:lvlJc w:val="start"/>
      <w:pPr>
        <w:tabs>
          <w:tab w:val="num" w:pos="288"/>
        </w:tabs>
        <w:ind w:start="979" w:hanging="288"/>
      </w:pPr>
      <w:rPr>
        <w:rFonts w:ascii="Palatino" w:hAnsi="Palatino" w:cs="Palatino"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jc w:val="end"/>
      <w:outlineLvl w:val="3"/>
    </w:pPr>
    <w:rPr>
      <w:b/>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 w:hAnsi="Palatino" w:cs="Palatino"/>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 w:hAnsi="Palatino" w:cs="Palatino"/>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 w:hAnsi="Palatino" w:cs="Palatino"/>
    </w:rPr>
  </w:style>
  <w:style w:type="character" w:styleId="WW8Num22z0">
    <w:name w:val="WW8Num22z0"/>
    <w:qFormat/>
    <w:rPr>
      <w:rFonts w:ascii="Times" w:hAnsi="Times" w:cs="Times"/>
      <w:b w:val="false"/>
      <w:i w:val="false"/>
      <w:sz w:val="24"/>
    </w:rPr>
  </w:style>
  <w:style w:type="character" w:styleId="WW8Num23z0">
    <w:name w:val="WW8Num23z0"/>
    <w:qFormat/>
    <w:rPr>
      <w:rFonts w:ascii="Palatino" w:hAnsi="Palatino" w:cs="Palatino"/>
    </w:rPr>
  </w:style>
  <w:style w:type="character" w:styleId="WW8Num27z0">
    <w:name w:val="WW8Num27z0"/>
    <w:qFormat/>
    <w:rPr>
      <w:rFonts w:ascii="Palatino" w:hAnsi="Palatino" w:cs="Palatino"/>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 w:hAnsi="Palatino" w:cs="Palatino"/>
    </w:rPr>
  </w:style>
  <w:style w:type="character" w:styleId="WW8Num48z0">
    <w:name w:val="WW8Num48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Palatino" w:hAnsi="Palatino" w:cs="Palatino"/>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 w:hAnsi="Palatino" w:cs="Palatino"/>
    </w:rPr>
  </w:style>
  <w:style w:type="character" w:styleId="WW8Num61z0">
    <w:name w:val="WW8Num61z0"/>
    <w:qFormat/>
    <w:rPr>
      <w:rFonts w:ascii="Wingdings" w:hAnsi="Wingdings" w:cs="Wingdings"/>
    </w:rPr>
  </w:style>
  <w:style w:type="character" w:styleId="WW8Num63z0">
    <w:name w:val="WW8Num63z0"/>
    <w:qFormat/>
    <w:rPr>
      <w:rFonts w:ascii="Palatino" w:hAnsi="Palatino" w:cs="Palatino"/>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95z0">
    <w:name w:val="WW8NumSt95z0"/>
    <w:qFormat/>
    <w:rPr>
      <w:rFonts w:ascii="Palatino" w:hAnsi="Palatino" w:cs="Palatino"/>
      <w:sz w:val="24"/>
    </w:rPr>
  </w:style>
  <w:style w:type="character" w:styleId="DefaultParagraphFont">
    <w:name w:val="Default Paragraph Font"/>
    <w:qForma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1subtitle">
    <w:name w:val="31 subtitle"/>
    <w:basedOn w:val="Normal"/>
    <w:next w:val="Normal"/>
    <w:qFormat/>
    <w:pPr>
      <w:spacing w:before="0" w:after="720"/>
      <w:ind w:hanging="0" w:start="0" w:end="3601"/>
    </w:pPr>
    <w:rPr>
      <w:i/>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39restrictivenote">
    <w:name w:val="39 restrictive note"/>
    <w:basedOn w:val="Normal"/>
    <w:next w:val="40address"/>
    <w:qFormat/>
    <w:pPr/>
    <w:rPr>
      <w:i/>
    </w:rPr>
  </w:style>
  <w:style w:type="paragraph" w:styleId="40address">
    <w:name w:val="40 address"/>
    <w:basedOn w:val="Normal"/>
    <w:qFormat/>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0exhnormal">
    <w:name w:val="60 exh normal"/>
    <w:basedOn w:val="Normal"/>
    <w:qFormat/>
    <w:pPr>
      <w:spacing w:before="0" w:after="0"/>
    </w:pPr>
    <w:rPr>
      <w:rFonts w:ascii="Arial" w:hAnsi="Arial" w:cs="Arial"/>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259" w:start="1195" w:end="0"/>
      <w:outlineLvl w:val="9"/>
    </w:pPr>
    <w:rPr>
      <w:rFonts w:ascii="Arial" w:hAnsi="Arial" w:cs="Arial"/>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80exhannotation">
    <w:name w:val="80 exh annotation"/>
    <w:basedOn w:val="60exhnormal"/>
    <w:qFormat/>
    <w:pPr>
      <w:pageBreakBefore/>
      <w:ind w:hanging="0" w:start="0" w:end="2880"/>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6exhmeasure">
    <w:name w:val="86 exh measure"/>
    <w:basedOn w:val="60exhnormal"/>
    <w:next w:val="60exhnormal"/>
    <w:qFormat/>
    <w:pPr>
      <w:spacing w:before="100" w:after="0"/>
    </w:pPr>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EnvelopeAddress">
    <w:name w:val="envelope address"/>
    <w:basedOn w:val="Normal"/>
    <w:pPr>
      <w:spacing w:before="0" w:after="0"/>
      <w:ind w:hanging="0" w:start="2880" w:end="0"/>
    </w:pPr>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Style11">
    <w:name w:val="Style1"/>
    <w:basedOn w:val="74exhtblddot"/>
    <w:qFormat/>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CommentText">
    <w:name w:val="Comment Text"/>
    <w:basedOn w:val="Normal"/>
    <w:qFormat/>
    <w:pPr/>
    <w:rPr>
      <w:sz w:val="20"/>
    </w:rPr>
  </w:style>
  <w:style w:type="paragraph" w:styleId="EndnoteText">
    <w:name w:val="endnote text"/>
    <w:basedOn w:val="Normal"/>
    <w:pPr/>
    <w:rPr>
      <w:sz w:val="20"/>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
    <w:name w:val="DocumentID-TR"/>
    <w:basedOn w:val="Normal"/>
    <w:next w:val="Header"/>
    <w:qFormat/>
    <w:pPr>
      <w:spacing w:before="0" w:after="0"/>
      <w:jc w:val="end"/>
    </w:pPr>
    <w:rPr>
      <w:sz w:val="16"/>
    </w:rPr>
  </w:style>
  <w:style w:type="paragraph" w:styleId="DocumentID-BL">
    <w:name w:val="DocumentID-BL"/>
    <w:basedOn w:val="Normal"/>
    <w:next w:val="Header"/>
    <w:qFormat/>
    <w:pPr>
      <w:spacing w:before="0" w:after="0"/>
    </w:pPr>
    <w:rPr>
      <w:sz w:val="16"/>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paragraph" w:styleId="EnvelopeReturn">
    <w:name w:val="envelope return"/>
    <w:basedOn w:val="Normal"/>
    <w:pPr>
      <w:spacing w:before="0" w:after="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2000-11-15T19:05:00Z</dcterms:created>
  <dc:creator>Jim O'Reilly</dc:creator>
  <dc:description/>
  <dc:language>en-CA</dc:language>
  <cp:lastModifiedBy>Jim O'Reilly</cp:lastModifiedBy>
  <cp:lastPrinted>2000-11-20T18:06:00Z</cp:lastPrinted>
  <dcterms:modified xsi:type="dcterms:W3CDTF">2000-11-20T20:52:00Z</dcterms:modified>
  <cp:revision>17</cp:revision>
  <dc:subject/>
  <dc:title/>
</cp:coreProperties>
</file>