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Narrow" w:hAnsi="Arial Narrow" w:cs="Arial Narrow"/>
          <w:sz w:val="20"/>
        </w:rPr>
      </w:pPr>
      <w:r>
        <w:rPr>
          <w:rFonts w:cs="Arial Narrow" w:ascii="Arial Narrow" w:hAnsi="Arial Narrow"/>
          <w:sz w:val="20"/>
        </w:rPr>
        <w:tab/>
        <w:tab/>
        <w:tab/>
        <w:tab/>
        <w:tab/>
        <w:tab/>
        <w:t>September 5, 2001</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ENA Upstream Company, LLC</w:t>
      </w:r>
    </w:p>
    <w:p>
      <w:pPr>
        <w:pStyle w:val="Normal"/>
        <w:jc w:val="both"/>
        <w:rPr>
          <w:rFonts w:ascii="Arial Narrow" w:hAnsi="Arial Narrow" w:cs="Arial Narrow"/>
          <w:sz w:val="20"/>
        </w:rPr>
      </w:pPr>
      <w:r>
        <w:rPr>
          <w:rFonts w:cs="Arial Narrow" w:ascii="Arial Narrow" w:hAnsi="Arial Narrow"/>
          <w:sz w:val="20"/>
        </w:rPr>
        <w:t>1400 Smith Street</w:t>
        <w:tab/>
      </w:r>
    </w:p>
    <w:p>
      <w:pPr>
        <w:pStyle w:val="Normal"/>
        <w:jc w:val="both"/>
        <w:rPr>
          <w:rFonts w:ascii="Arial Narrow" w:hAnsi="Arial Narrow" w:cs="Arial Narrow"/>
          <w:sz w:val="20"/>
        </w:rPr>
      </w:pPr>
      <w:r>
        <w:rPr>
          <w:rFonts w:cs="Arial Narrow" w:ascii="Arial Narrow" w:hAnsi="Arial Narrow"/>
          <w:sz w:val="20"/>
        </w:rPr>
        <w:t>Houston, TX 77002</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This Confirmation shall confirm the Transaction agreed to and binding between Ocean Energy, Inc. ("</w:t>
      </w:r>
      <w:r>
        <w:rPr>
          <w:rFonts w:cs="Arial Narrow" w:ascii="Arial Narrow" w:hAnsi="Arial Narrow"/>
          <w:sz w:val="20"/>
          <w:u w:val="single"/>
        </w:rPr>
        <w:t>Customer</w:t>
      </w:r>
      <w:r>
        <w:rPr>
          <w:rFonts w:cs="Arial Narrow" w:ascii="Arial Narrow" w:hAnsi="Arial Narrow"/>
          <w:sz w:val="20"/>
        </w:rPr>
        <w:t>") and ENA Upstream Company, LLC ("</w:t>
      </w:r>
      <w:r>
        <w:rPr>
          <w:rFonts w:cs="Arial Narrow" w:ascii="Arial Narrow" w:hAnsi="Arial Narrow"/>
          <w:sz w:val="20"/>
          <w:u w:val="single"/>
        </w:rPr>
        <w:t>Company</w:t>
      </w:r>
      <w:r>
        <w:rPr>
          <w:rFonts w:cs="Arial Narrow" w:ascii="Arial Narrow" w:hAnsi="Arial Narrow"/>
          <w:sz w:val="20"/>
        </w:rPr>
        <w:t xml:space="preserve">") regarding the firm purchase and sale of Gas under the following terms and conditions.  Company to purchase and receive (Buyer) and Customer to sell and deliver (Seller). </w:t>
      </w:r>
    </w:p>
    <w:p>
      <w:pPr>
        <w:pStyle w:val="Normal"/>
        <w:jc w:val="both"/>
        <w:rPr>
          <w:rFonts w:ascii="Arial Narrow" w:hAnsi="Arial Narrow" w:cs="Arial Narrow"/>
          <w:sz w:val="20"/>
        </w:rPr>
      </w:pPr>
      <w:r>
        <w:rPr>
          <w:rFonts w:cs="Arial Narrow" w:ascii="Arial Narrow" w:hAnsi="Arial Narrow"/>
          <w:sz w:val="20"/>
        </w:rPr>
      </w:r>
    </w:p>
    <w:p>
      <w:pPr>
        <w:pStyle w:val="BodyTextIndent"/>
        <w:ind w:hanging="0" w:start="0" w:end="0"/>
        <w:rPr/>
      </w:pPr>
      <w:r>
        <w:rPr>
          <w:b/>
          <w:bCs/>
          <w:sz w:val="20"/>
        </w:rPr>
        <w:t>SELLER’S NOMINATION (BUYER’S REQUESTED QUANTITY):</w:t>
      </w:r>
      <w:r>
        <w:rPr>
          <w:sz w:val="20"/>
        </w:rPr>
        <w:t xml:space="preserve">   All of the gas which is physically capable of being produced by Seller, or a producer with whom Seller has contracted, in accordance with applicable law from the undivided interests owned or controlled by Seller (or the undivided interests from which Seller has obtained a right to exclusively purchase the gas production from the producer that owns or controls such interests) in and to leaseholds, royalties, overriding royalties, and all additional right, title, interest or claim of every kind and character of Seller in the gas reserves underlying, and production, to the extent attributable to the Subject Well(s) as set forth below, together with any pool, communitized area or unit applicable to such wells, and any and all hereafter acquired interests in production from such wells and any and all renewals and extensions or amendments of any of the same.</w:t>
      </w:r>
    </w:p>
    <w:p>
      <w:pPr>
        <w:pStyle w:val="BodyTextIndent"/>
        <w:ind w:hanging="0" w:start="0" w:end="0"/>
        <w:rPr>
          <w:sz w:val="20"/>
        </w:rPr>
      </w:pPr>
      <w:r>
        <w:rPr>
          <w:sz w:val="20"/>
        </w:rPr>
      </w:r>
    </w:p>
    <w:p>
      <w:pPr>
        <w:pStyle w:val="BodyTextIndent"/>
        <w:ind w:hanging="0" w:start="0" w:end="0"/>
        <w:rPr/>
      </w:pPr>
      <w:r>
        <w:rPr>
          <w:b/>
          <w:bCs/>
          <w:sz w:val="20"/>
        </w:rPr>
        <w:t>SUBJECT WELL(S):</w:t>
      </w:r>
      <w:r>
        <w:rPr>
          <w:sz w:val="20"/>
        </w:rPr>
        <w:t xml:space="preserve">   See Exhibit A attached hereto.</w:t>
      </w:r>
    </w:p>
    <w:p>
      <w:pPr>
        <w:pStyle w:val="BodyTextIndent"/>
        <w:ind w:hanging="0" w:start="0" w:end="0"/>
        <w:rPr>
          <w:sz w:val="20"/>
        </w:rPr>
      </w:pPr>
      <w:r>
        <w:rPr>
          <w:sz w:val="20"/>
        </w:rPr>
      </w:r>
    </w:p>
    <w:p>
      <w:pPr>
        <w:pStyle w:val="Normal"/>
        <w:tabs>
          <w:tab w:val="clear" w:pos="720"/>
          <w:tab w:val="left" w:pos="8640" w:leader="none"/>
        </w:tabs>
        <w:jc w:val="both"/>
        <w:rPr/>
      </w:pPr>
      <w:r>
        <w:rPr>
          <w:rFonts w:cs="Arial Narrow" w:ascii="Arial Narrow" w:hAnsi="Arial Narrow"/>
          <w:b/>
          <w:bCs/>
          <w:sz w:val="20"/>
        </w:rPr>
        <w:t>DELIVERY POINT(S):</w:t>
      </w:r>
      <w:r>
        <w:rPr>
          <w:rFonts w:cs="Arial Narrow" w:ascii="Arial Narrow" w:hAnsi="Arial Narrow"/>
          <w:sz w:val="20"/>
        </w:rPr>
        <w:t xml:space="preserve">  See Exhibit A attached hereto.</w:t>
      </w:r>
    </w:p>
    <w:p>
      <w:pPr>
        <w:pStyle w:val="Normal"/>
        <w:tabs>
          <w:tab w:val="clear" w:pos="720"/>
          <w:tab w:val="left" w:pos="8640" w:leader="none"/>
        </w:tabs>
        <w:jc w:val="both"/>
        <w:rPr>
          <w:rFonts w:ascii="Arial Narrow" w:hAnsi="Arial Narrow" w:cs="Arial Narrow"/>
          <w:sz w:val="20"/>
          <w:u w:val="single"/>
        </w:rPr>
      </w:pPr>
      <w:r>
        <w:rPr>
          <w:rFonts w:cs="Arial Narrow" w:ascii="Arial Narrow" w:hAnsi="Arial Narrow"/>
          <w:sz w:val="20"/>
          <w:u w:val="single"/>
        </w:rPr>
      </w:r>
    </w:p>
    <w:p>
      <w:pPr>
        <w:pStyle w:val="Normal"/>
        <w:tabs>
          <w:tab w:val="clear" w:pos="720"/>
          <w:tab w:val="left" w:pos="8640" w:leader="none"/>
        </w:tabs>
        <w:jc w:val="both"/>
        <w:rPr/>
      </w:pPr>
      <w:r>
        <w:rPr>
          <w:rFonts w:cs="Arial Narrow" w:ascii="Arial Narrow" w:hAnsi="Arial Narrow"/>
          <w:b/>
          <w:bCs/>
          <w:sz w:val="20"/>
        </w:rPr>
        <w:t>CONTRACT PRICE (per MMBtu):</w:t>
      </w:r>
      <w:r>
        <w:rPr>
          <w:rFonts w:cs="Arial Narrow" w:ascii="Arial Narrow" w:hAnsi="Arial Narrow"/>
          <w:sz w:val="20"/>
        </w:rPr>
        <w:t xml:space="preserve">   Buyer shall pay a Contract Price equal to the </w:t>
      </w:r>
      <w:r>
        <w:rPr>
          <w:rFonts w:cs="Arial Narrow" w:ascii="Arial Narrow" w:hAnsi="Arial Narrow"/>
          <w:color w:val="000000"/>
          <w:sz w:val="20"/>
        </w:rPr>
        <w:t xml:space="preserve">"Midpoint" price stated in </w:t>
      </w:r>
      <w:r>
        <w:rPr>
          <w:rFonts w:cs="Arial Narrow" w:ascii="Arial Narrow" w:hAnsi="Arial Narrow"/>
          <w:color w:val="000000"/>
          <w:sz w:val="20"/>
          <w:u w:val="single"/>
        </w:rPr>
        <w:t>Gas Daily</w:t>
      </w:r>
      <w:r>
        <w:rPr>
          <w:rFonts w:cs="Arial Narrow" w:ascii="Arial Narrow" w:hAnsi="Arial Narrow"/>
          <w:color w:val="000000"/>
          <w:sz w:val="20"/>
        </w:rPr>
        <w:t xml:space="preserve">® (Financial Times Energy), or successor publication, in the column "Daily Price Survey" </w:t>
      </w:r>
      <w:r>
        <w:rPr>
          <w:rFonts w:cs="Arial Narrow" w:ascii="Arial Narrow" w:hAnsi="Arial Narrow"/>
          <w:sz w:val="20"/>
        </w:rPr>
        <w:t>for the relevant gas Day for the location specified for each Delivery Point(s) as set forth on Exhibit A attached hereto for each gas Day in which deliveries occurred PLUS/MINUS any adjustements as set forth on Exhibit A attached hereto, and LESS any and all costs and expenses of Buyer attributable to the compression, dehydration, gathering, fuel, transporting and other post production operations necessary to transport the gas delivered hereunder to the Delivery Point(s).</w:t>
      </w:r>
    </w:p>
    <w:p>
      <w:pPr>
        <w:pStyle w:val="Normal"/>
        <w:tabs>
          <w:tab w:val="clear" w:pos="720"/>
          <w:tab w:val="left" w:pos="8640" w:leader="none"/>
        </w:tabs>
        <w:jc w:val="both"/>
        <w:rPr>
          <w:rFonts w:ascii="Arial Narrow" w:hAnsi="Arial Narrow" w:cs="Arial Narrow"/>
          <w:sz w:val="20"/>
        </w:rPr>
      </w:pPr>
      <w:r>
        <w:rPr>
          <w:rFonts w:cs="Arial Narrow" w:ascii="Arial Narrow" w:hAnsi="Arial Narrow"/>
          <w:sz w:val="20"/>
        </w:rPr>
      </w:r>
    </w:p>
    <w:p>
      <w:pPr>
        <w:pStyle w:val="BodyTextIndent"/>
        <w:ind w:hanging="0" w:start="0" w:end="0"/>
        <w:rPr>
          <w:sz w:val="20"/>
          <w:u w:val="single"/>
        </w:rPr>
      </w:pPr>
      <w:r>
        <w:rPr>
          <w:b/>
          <w:bCs/>
          <w:sz w:val="20"/>
        </w:rPr>
        <w:t>PERIOD OF DELIVERY:</w:t>
      </w:r>
      <w:r>
        <w:rPr>
          <w:sz w:val="20"/>
        </w:rPr>
        <w:t xml:space="preserve">  October 1, 2001 through September 30, 2002 and month-to-month thereafter unless cancelled by either Buyer or Seller upon 60 Days prior written notice.</w:t>
      </w:r>
    </w:p>
    <w:p>
      <w:pPr>
        <w:pStyle w:val="Normal"/>
        <w:jc w:val="both"/>
        <w:rPr>
          <w:rFonts w:ascii="Arial Narrow" w:hAnsi="Arial Narrow" w:cs="Arial Narrow"/>
          <w:sz w:val="20"/>
          <w:u w:val="single"/>
        </w:rPr>
      </w:pPr>
      <w:r>
        <w:rPr>
          <w:rFonts w:cs="Arial Narrow" w:ascii="Arial Narrow" w:hAnsi="Arial Narrow"/>
          <w:sz w:val="20"/>
          <w:u w:val="single"/>
        </w:rPr>
      </w:r>
    </w:p>
    <w:p>
      <w:pPr>
        <w:pStyle w:val="Normal"/>
        <w:jc w:val="both"/>
        <w:rPr/>
      </w:pPr>
      <w:r>
        <w:rPr>
          <w:rFonts w:cs="Arial Narrow" w:ascii="Arial Narrow" w:hAnsi="Arial Narrow"/>
          <w:sz w:val="20"/>
        </w:rPr>
        <w:t>This Confirmation is being provided pursuant to and in accordance with the ENFOLIO Master Firm Purchase/Sale Agreement in effect between Customer and Company (the "</w:t>
      </w:r>
      <w:r>
        <w:rPr>
          <w:rFonts w:cs="Arial Narrow" w:ascii="Arial Narrow" w:hAnsi="Arial Narrow"/>
          <w:sz w:val="20"/>
          <w:u w:val="single"/>
        </w:rPr>
        <w:t>Agreement</w:t>
      </w:r>
      <w:r>
        <w:rPr>
          <w:rFonts w:cs="Arial Narrow" w:ascii="Arial Narrow" w:hAnsi="Arial Narrow"/>
          <w:sz w:val="20"/>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sz w:val="20"/>
        </w:rPr>
      </w:pPr>
      <w:r>
        <w:rPr>
          <w:rFonts w:cs="Arial Narrow" w:ascii="Arial Narrow" w:hAnsi="Arial Narrow"/>
          <w:sz w:val="20"/>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cPr>
          <w:p>
            <w:pPr>
              <w:pStyle w:val="Normal"/>
              <w:tabs>
                <w:tab w:val="clear" w:pos="720"/>
                <w:tab w:val="left" w:pos="270" w:leader="none"/>
                <w:tab w:val="left" w:pos="4320" w:leader="none"/>
              </w:tabs>
              <w:jc w:val="both"/>
              <w:rPr>
                <w:rFonts w:ascii="Arial Narrow" w:hAnsi="Arial Narrow" w:cs="Arial Narrow"/>
                <w:b/>
                <w:bCs/>
                <w:sz w:val="20"/>
              </w:rPr>
            </w:pPr>
            <w:r>
              <w:rPr>
                <w:rFonts w:cs="Arial Narrow" w:ascii="Arial Narrow" w:hAnsi="Arial Narrow"/>
                <w:b/>
                <w:bCs/>
                <w:sz w:val="20"/>
              </w:rPr>
              <w:t>ENA UPSTREAM COMPANY, LLC</w:t>
            </w:r>
          </w:p>
        </w:tc>
        <w:tc>
          <w:tcPr>
            <w:tcW w:w="4860" w:type="dxa"/>
            <w:tcBorders/>
          </w:tcPr>
          <w:p>
            <w:pPr>
              <w:pStyle w:val="Normal"/>
              <w:tabs>
                <w:tab w:val="clear" w:pos="720"/>
                <w:tab w:val="left" w:pos="252" w:leader="none"/>
                <w:tab w:val="left" w:pos="4482" w:leader="none"/>
              </w:tabs>
              <w:jc w:val="both"/>
              <w:rPr>
                <w:rFonts w:ascii="Arial Narrow" w:hAnsi="Arial Narrow" w:cs="Arial Narrow"/>
                <w:b/>
                <w:bCs/>
                <w:sz w:val="20"/>
              </w:rPr>
            </w:pPr>
            <w:r>
              <w:rPr>
                <w:rFonts w:cs="Arial Narrow" w:ascii="Arial Narrow" w:hAnsi="Arial Narrow"/>
                <w:b/>
                <w:bCs/>
                <w:sz w:val="20"/>
              </w:rPr>
              <w:t>OCEAN ENERGY, INC.</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b/>
                <w:bCs/>
                <w:sz w:val="20"/>
              </w:rPr>
            </w:pPr>
            <w:r>
              <w:rPr>
                <w:rFonts w:cs="Arial Narrow" w:ascii="Arial Narrow" w:hAnsi="Arial Narrow"/>
                <w:b/>
                <w:bCs/>
                <w:sz w:val="20"/>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20"/>
              </w:rPr>
            </w:pPr>
            <w:r>
              <w:rPr>
                <w:rFonts w:cs="Arial Narrow" w:ascii="Arial Narrow" w:hAnsi="Arial Narrow"/>
                <w:sz w:val="20"/>
              </w:rPr>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20"/>
              </w:rPr>
            </w:pPr>
            <w:r>
              <w:rPr>
                <w:rFonts w:cs="Arial Narrow" w:ascii="Arial Narrow" w:hAnsi="Arial Narrow"/>
                <w:sz w:val="20"/>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20"/>
              </w:rPr>
            </w:pPr>
            <w:r>
              <w:rPr>
                <w:rFonts w:cs="Arial Narrow" w:ascii="Arial Narrow" w:hAnsi="Arial Narrow"/>
                <w:sz w:val="20"/>
              </w:rPr>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20"/>
              </w:rPr>
            </w:pPr>
            <w:r>
              <w:rPr>
                <w:rFonts w:cs="Arial Narrow" w:ascii="Arial Narrow" w:hAnsi="Arial Narrow"/>
                <w:sz w:val="20"/>
              </w:rPr>
              <w:t>By:</w:t>
              <w:tab/>
            </w:r>
            <w:r>
              <w:rPr>
                <w:rFonts w:cs="Arial Narrow" w:ascii="Arial Narrow" w:hAnsi="Arial Narrow"/>
                <w:sz w:val="20"/>
                <w:u w:val="single"/>
              </w:rPr>
              <w:tab/>
            </w:r>
          </w:p>
        </w:tc>
        <w:tc>
          <w:tcPr>
            <w:tcW w:w="4860" w:type="dxa"/>
            <w:tcBorders/>
          </w:tcPr>
          <w:p>
            <w:pPr>
              <w:pStyle w:val="Normal"/>
              <w:tabs>
                <w:tab w:val="clear" w:pos="720"/>
                <w:tab w:val="left" w:pos="252" w:leader="none"/>
                <w:tab w:val="left" w:pos="4482" w:leader="none"/>
              </w:tabs>
              <w:jc w:val="both"/>
              <w:rPr/>
            </w:pPr>
            <w:r>
              <w:rPr>
                <w:rFonts w:cs="Arial Narrow" w:ascii="Arial Narrow" w:hAnsi="Arial Narrow"/>
                <w:sz w:val="20"/>
              </w:rPr>
              <w:t>By:</w:t>
            </w:r>
            <w:r>
              <w:rPr>
                <w:rFonts w:cs="Arial Narrow" w:ascii="Arial Narrow" w:hAnsi="Arial Narrow"/>
                <w:sz w:val="20"/>
                <w:u w:val="single"/>
              </w:rPr>
              <w:tab/>
            </w:r>
            <w:r>
              <w:rPr>
                <w:rFonts w:cs="Arial Narrow" w:ascii="Arial Narrow" w:hAnsi="Arial Narrow"/>
                <w:sz w:val="20"/>
              </w:rPr>
              <w:t>_______________________________________________</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20"/>
              </w:rPr>
            </w:pPr>
            <w:r>
              <w:rPr>
                <w:rFonts w:cs="Arial Narrow" w:ascii="Arial Narrow" w:hAnsi="Arial Narrow"/>
                <w:sz w:val="20"/>
              </w:rPr>
              <w:tab/>
              <w:t>Name: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20"/>
              </w:rPr>
            </w:pPr>
            <w:r>
              <w:rPr>
                <w:rFonts w:cs="Arial Narrow" w:ascii="Arial Narrow" w:hAnsi="Arial Narrow"/>
                <w:sz w:val="20"/>
              </w:rPr>
              <w:tab/>
              <w:t>Name:</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20"/>
              </w:rPr>
            </w:pPr>
            <w:r>
              <w:rPr>
                <w:rFonts w:cs="Arial Narrow" w:ascii="Arial Narrow" w:hAnsi="Arial Narrow"/>
                <w:sz w:val="20"/>
              </w:rPr>
              <w:tab/>
              <w:t>Title: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20"/>
              </w:rPr>
            </w:pPr>
            <w:r>
              <w:rPr>
                <w:rFonts w:cs="Arial Narrow" w:ascii="Arial Narrow" w:hAnsi="Arial Narrow"/>
                <w:sz w:val="20"/>
              </w:rPr>
              <w:tab/>
              <w:t>Title:</w:t>
            </w:r>
          </w:p>
        </w:tc>
      </w:tr>
    </w:tbl>
    <w:p>
      <w:pPr>
        <w:pStyle w:val="Normal"/>
        <w:jc w:val="both"/>
        <w:rPr>
          <w:sz w:val="20"/>
        </w:rPr>
      </w:pPr>
      <w:r>
        <w:rPr>
          <w:sz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8640" w:leader="none"/>
      </w:tabs>
      <w:ind w:hanging="5580" w:start="5580" w:end="0"/>
      <w:jc w:val="both"/>
    </w:pPr>
    <w:rPr>
      <w:rFonts w:ascii="Arial Narrow" w:hAnsi="Arial Narrow" w:cs="Arial Narrow"/>
      <w:sz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2001-09-04T14:59:00Z</dcterms:created>
  <dc:creator>gnemec</dc:creator>
  <dc:description/>
  <dc:language>en-CA</dc:language>
  <cp:lastModifiedBy>gnemec</cp:lastModifiedBy>
  <cp:lastPrinted>2001-09-04T13:02:00Z</cp:lastPrinted>
  <dcterms:modified xsi:type="dcterms:W3CDTF">2001-09-04T18:13:00Z</dcterms:modified>
  <cp:revision>10</cp:revision>
  <dc:subject/>
  <dc:title>This Confirmation shall confirm the Transaction agreed to on ___________, _______ and binding between _____________________ ("</dc:title>
</cp:coreProperties>
</file>