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ListNumber"/>
        <w:numPr>
          <w:ilvl w:val="0"/>
          <w:numId w:val="0"/>
        </w:numPr>
        <w:ind w:hanging="0" w:start="0"/>
        <w:rPr>
          <w:b/>
        </w:rPr>
      </w:pPr>
      <w:r>
        <w:rPr>
          <w:b/>
        </w:rPr>
      </w:r>
    </w:p>
    <w:p>
      <w:pPr>
        <w:pStyle w:val="ListNumber"/>
        <w:numPr>
          <w:ilvl w:val="0"/>
          <w:numId w:val="0"/>
        </w:numPr>
        <w:ind w:hanging="0" w:start="0"/>
        <w:rPr>
          <w:b/>
        </w:rPr>
      </w:pPr>
      <w:r>
        <w:rPr>
          <w:b/>
        </w:rPr>
      </w:r>
    </w:p>
    <w:p>
      <w:pPr>
        <w:pStyle w:val="ListNumber"/>
        <w:numPr>
          <w:ilvl w:val="0"/>
          <w:numId w:val="0"/>
        </w:numPr>
        <w:ind w:hanging="0" w:start="0"/>
        <w:rPr>
          <w:b/>
        </w:rPr>
      </w:pPr>
      <w:r>
        <w:rPr>
          <w:b/>
        </w:rPr>
        <w:t>OBJECTIONS OF THE CITIES OF AZUSA AND BANNING, CALIFORNIA TO INITIAL SET OF JOINT DATA REQUESTS OF THE COMPETITIVE SUPPLIER GROUP TO THE NON-PUBLIC UTILITY GROUPS</w:t>
      </w:r>
    </w:p>
    <w:p>
      <w:pPr>
        <w:pStyle w:val="ListNumber"/>
        <w:numPr>
          <w:ilvl w:val="0"/>
          <w:numId w:val="0"/>
        </w:numPr>
        <w:ind w:hanging="0" w:start="0"/>
        <w:rPr>
          <w:b/>
        </w:rPr>
      </w:pPr>
      <w:r>
        <w:rPr>
          <w:b/>
        </w:rPr>
      </w:r>
    </w:p>
    <w:p>
      <w:pPr>
        <w:pStyle w:val="ListNumber"/>
        <w:numPr>
          <w:ilvl w:val="0"/>
          <w:numId w:val="0"/>
        </w:numPr>
        <w:ind w:hanging="0" w:start="0"/>
        <w:rPr>
          <w:b/>
        </w:rPr>
      </w:pPr>
      <w:r>
        <w:rPr>
          <w:b/>
        </w:rPr>
      </w:r>
    </w:p>
    <w:p>
      <w:pPr>
        <w:pStyle w:val="ListNumber"/>
        <w:numPr>
          <w:ilvl w:val="0"/>
          <w:numId w:val="0"/>
        </w:numPr>
        <w:ind w:hanging="0" w:start="0"/>
        <w:rPr/>
      </w:pPr>
      <w:r>
        <w:rPr/>
        <w:tab/>
        <w:t>The Cities of Azusa and Banning, California hereby object to the Initial Set of Joint Data Requests of the Competitive Supplier Group to the Non-Public Utility Groups as follows:</w:t>
      </w:r>
    </w:p>
    <w:p>
      <w:pPr>
        <w:pStyle w:val="ListNumber"/>
        <w:numPr>
          <w:ilvl w:val="0"/>
          <w:numId w:val="0"/>
        </w:numPr>
        <w:ind w:hanging="0" w:start="0"/>
        <w:rPr/>
      </w:pPr>
      <w:r>
        <w:rPr/>
      </w:r>
    </w:p>
    <w:p>
      <w:pPr>
        <w:pStyle w:val="ListNumber"/>
        <w:numPr>
          <w:ilvl w:val="0"/>
          <w:numId w:val="0"/>
        </w:numPr>
        <w:ind w:hanging="0" w:start="0"/>
        <w:rPr/>
      </w:pPr>
      <w:r>
        <w:rPr/>
      </w:r>
    </w:p>
    <w:p>
      <w:pPr>
        <w:pStyle w:val="ListNumber"/>
        <w:numPr>
          <w:ilvl w:val="0"/>
          <w:numId w:val="0"/>
        </w:numPr>
        <w:ind w:hanging="0" w:start="0"/>
        <w:rPr>
          <w:b/>
        </w:rPr>
      </w:pPr>
      <w:r>
        <w:rPr>
          <w:b/>
        </w:rPr>
        <w:t>REQUEST CSG-NPU-1:</w:t>
      </w:r>
    </w:p>
    <w:p>
      <w:pPr>
        <w:pStyle w:val="ListNumber"/>
        <w:numPr>
          <w:ilvl w:val="0"/>
          <w:numId w:val="0"/>
        </w:numPr>
        <w:ind w:hanging="0" w:start="0"/>
        <w:rPr>
          <w:b/>
        </w:rPr>
      </w:pPr>
      <w:r>
        <w:rPr>
          <w:b/>
        </w:rPr>
      </w:r>
    </w:p>
    <w:p>
      <w:pPr>
        <w:pStyle w:val="Normal"/>
        <w:rPr>
          <w:rFonts w:ascii="Times New Roman" w:hAnsi="Times New Roman" w:cs="Times New Roman"/>
          <w:sz w:val="24"/>
        </w:rPr>
      </w:pPr>
      <w:r>
        <w:rPr>
          <w:rFonts w:cs="Times New Roman" w:ascii="Times New Roman" w:hAnsi="Times New Roman"/>
          <w:sz w:val="24"/>
        </w:rPr>
        <w:t>For each hour in the refund period of October 2, 2000 to June 20, 2001, in which you are able to demonstrate that you sold marginal energy to the California Independent System Operator, please provide the following data in machine readable (.xlsor .csv) format:  Date; Hour ending; Calculated marginal cost of energy supplied; Quantity of energy supplied.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OBJECTION AND RESPONSE:</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 xml:space="preserve">Azusa and Banning object to the foregoing request on the grounds that the requested information is not relevant to any issue in this case or likely to lead to evidence that is relevant to any issue.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Certification Regarding Preparation of Objections:  The foregoing objections were prepared by counsel for the Cities of Azusa and Banning, California.</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ListNumber">
    <w:name w:val="List Number"/>
    <w:basedOn w:val="Normal"/>
    <w:qFormat/>
    <w:pPr>
      <w:numPr>
        <w:ilvl w:val="0"/>
        <w:numId w:val="2"/>
      </w:numPr>
      <w:tabs>
        <w:tab w:val="clear" w:pos="720"/>
        <w:tab w:val="left" w:pos="648" w:leader="none"/>
      </w:tabs>
      <w:jc w:val="both"/>
    </w:pPr>
    <w:rPr>
      <w:rFonts w:ascii="Times New Roman" w:hAnsi="Times New Roman" w:cs="Times New Roman"/>
      <w:sz w:val="24"/>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2001-11-07T18:34:00Z</dcterms:created>
  <dc:creator>Thompson Coburn</dc:creator>
  <dc:description/>
  <dc:language>en-CA</dc:language>
  <cp:lastModifiedBy>Thompson Coburn</cp:lastModifiedBy>
  <cp:lastPrinted>2001-11-07T16:01:00Z</cp:lastPrinted>
  <dcterms:modified xsi:type="dcterms:W3CDTF">2001-11-07T18:34:00Z</dcterms:modified>
  <cp:revision>2</cp:revision>
  <dc:subject/>
  <dc:title>UNITED STATES OF AMERICA</dc:title>
</cp:coreProperties>
</file>