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t>UNITED STATES OF AMERICA</w:t>
      </w:r>
    </w:p>
    <w:p>
      <w:pPr>
        <w:pStyle w:val="Normal"/>
        <w:jc w:val="center"/>
        <w:rPr>
          <w:rFonts w:ascii="Times New Roman" w:hAnsi="Times New Roman" w:cs="Times New Roman"/>
          <w:b/>
          <w:sz w:val="30"/>
        </w:rPr>
      </w:pPr>
      <w:r>
        <w:rPr>
          <w:rFonts w:cs="Times New Roman" w:ascii="Times New Roman" w:hAnsi="Times New Roman"/>
          <w:b/>
          <w:sz w:val="30"/>
        </w:rPr>
        <w:t>BEFORE THE</w:t>
      </w:r>
    </w:p>
    <w:p>
      <w:pPr>
        <w:pStyle w:val="Normal"/>
        <w:jc w:val="center"/>
        <w:rPr>
          <w:rFonts w:ascii="Times New Roman" w:hAnsi="Times New Roman" w:cs="Times New Roman"/>
          <w:b/>
          <w:sz w:val="30"/>
        </w:rPr>
      </w:pPr>
      <w:r>
        <w:rPr>
          <w:rFonts w:cs="Times New Roman" w:ascii="Times New Roman" w:hAnsi="Times New Roman"/>
          <w:b/>
          <w:sz w:val="30"/>
        </w:rPr>
        <w:t>FEDERAL ENERGY REGULATORY COMMISSION</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tbl>
      <w:tblPr>
        <w:tblW w:w="8640" w:type="dxa"/>
        <w:jc w:val="start"/>
        <w:tblInd w:w="0" w:type="dxa"/>
        <w:tblLayout w:type="fixed"/>
        <w:tblCellMar>
          <w:top w:w="0" w:type="dxa"/>
          <w:start w:w="108" w:type="dxa"/>
          <w:bottom w:w="0" w:type="dxa"/>
          <w:end w:w="108" w:type="dxa"/>
        </w:tblCellMar>
      </w:tblPr>
      <w:tblGrid>
        <w:gridCol w:w="4522"/>
        <w:gridCol w:w="619"/>
        <w:gridCol w:w="3499"/>
      </w:tblGrid>
      <w:tr>
        <w:trPr/>
        <w:tc>
          <w:tcPr>
            <w:tcW w:w="4522" w:type="dxa"/>
            <w:tcBorders/>
          </w:tcPr>
          <w:p>
            <w:pPr>
              <w:pStyle w:val="Normal"/>
              <w:ind w:hanging="360" w:start="360" w:end="0"/>
              <w:rPr>
                <w:rFonts w:ascii="Times New Roman" w:hAnsi="Times New Roman" w:cs="Times New Roman"/>
                <w:b/>
                <w:sz w:val="24"/>
              </w:rPr>
            </w:pPr>
            <w:bookmarkStart w:id="0" w:name="case_name"/>
            <w:bookmarkEnd w:id="0"/>
            <w:r>
              <w:rPr>
                <w:rFonts w:cs="Times New Roman" w:ascii="Times New Roman" w:hAnsi="Times New Roman"/>
                <w:b/>
                <w:sz w:val="24"/>
              </w:rPr>
              <w:t>San Diego Gas &amp; Electric Company</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v.</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Sellers of Energy and Ancillary Services Into Markets Operated By the California Independent System Operator Corporation and the California Power Exchange Corporation</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tc>
        <w:tc>
          <w:tcPr>
            <w:tcW w:w="619" w:type="dxa"/>
            <w:tcBorders/>
          </w:tcPr>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r>
          </w:p>
        </w:tc>
        <w:tc>
          <w:tcPr>
            <w:tcW w:w="3499" w:type="dxa"/>
            <w:tcBorders/>
          </w:tcPr>
          <w:p>
            <w:pPr>
              <w:pStyle w:val="Normal"/>
              <w:snapToGrid w:val="false"/>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i/>
                <w:i/>
                <w:sz w:val="24"/>
              </w:rPr>
            </w:pPr>
            <w:r>
              <w:rPr>
                <w:rFonts w:cs="Times New Roman" w:ascii="Times New Roman" w:hAnsi="Times New Roman"/>
                <w:b/>
                <w:sz w:val="24"/>
              </w:rPr>
              <w:t xml:space="preserve">Dockets Nos. </w:t>
            </w:r>
            <w:bookmarkStart w:id="1" w:name="docket_nos"/>
            <w:bookmarkEnd w:id="1"/>
            <w:r>
              <w:rPr>
                <w:rFonts w:cs="Times New Roman" w:ascii="Times New Roman" w:hAnsi="Times New Roman"/>
                <w:b/>
                <w:sz w:val="24"/>
              </w:rPr>
              <w:t>EL00-95-045 and EL00-98-042</w:t>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tc>
      </w:tr>
    </w:tbl>
    <w:p>
      <w:pPr>
        <w:pStyle w:val="ListNumber"/>
        <w:numPr>
          <w:ilvl w:val="0"/>
          <w:numId w:val="0"/>
        </w:numPr>
        <w:ind w:hanging="0" w:start="0"/>
        <w:rPr>
          <w:b/>
        </w:rPr>
      </w:pPr>
      <w:r>
        <w:rPr>
          <w:b/>
        </w:rPr>
      </w:r>
    </w:p>
    <w:p>
      <w:pPr>
        <w:pStyle w:val="ListNumber"/>
        <w:numPr>
          <w:ilvl w:val="0"/>
          <w:numId w:val="0"/>
        </w:numPr>
        <w:ind w:hanging="0" w:start="0"/>
        <w:rPr>
          <w:b/>
        </w:rPr>
      </w:pPr>
      <w:r>
        <w:rPr>
          <w:b/>
        </w:rPr>
      </w:r>
    </w:p>
    <w:p>
      <w:pPr>
        <w:pStyle w:val="ListNumber"/>
        <w:numPr>
          <w:ilvl w:val="0"/>
          <w:numId w:val="0"/>
        </w:numPr>
        <w:ind w:hanging="0" w:start="0"/>
        <w:rPr>
          <w:b/>
        </w:rPr>
      </w:pPr>
      <w:r>
        <w:rPr>
          <w:b/>
        </w:rPr>
        <w:t>OBJECTION AND RESPONSE OF THE CITY OF COLTON CALIFORNIA TO INITIAL SET OF JOINT DATA REQUESTS OF THE COMPETITIVE SUPPLIER GROUP TO THE NON-PUBLIC UTILITY GROUPS</w:t>
      </w:r>
    </w:p>
    <w:p>
      <w:pPr>
        <w:pStyle w:val="ListNumber"/>
        <w:numPr>
          <w:ilvl w:val="0"/>
          <w:numId w:val="0"/>
        </w:numPr>
        <w:ind w:hanging="0" w:start="0"/>
        <w:rPr>
          <w:b/>
        </w:rPr>
      </w:pPr>
      <w:r>
        <w:rPr>
          <w:b/>
        </w:rPr>
      </w:r>
    </w:p>
    <w:p>
      <w:pPr>
        <w:pStyle w:val="ListNumber"/>
        <w:numPr>
          <w:ilvl w:val="0"/>
          <w:numId w:val="0"/>
        </w:numPr>
        <w:ind w:hanging="0" w:start="0"/>
        <w:rPr>
          <w:b/>
        </w:rPr>
      </w:pPr>
      <w:r>
        <w:rPr>
          <w:b/>
        </w:rPr>
      </w:r>
    </w:p>
    <w:p>
      <w:pPr>
        <w:pStyle w:val="ListNumber"/>
        <w:numPr>
          <w:ilvl w:val="0"/>
          <w:numId w:val="0"/>
        </w:numPr>
        <w:ind w:hanging="0" w:start="0"/>
        <w:rPr/>
      </w:pPr>
      <w:r>
        <w:rPr/>
        <w:tab/>
        <w:t>The City of Colton, California hereby objects and responds to the Initial Set of Joint Data Requests of the Competitive Supplier Group to the Non-Public Utility Groups as follows:</w:t>
      </w:r>
    </w:p>
    <w:p>
      <w:pPr>
        <w:pStyle w:val="ListNumber"/>
        <w:numPr>
          <w:ilvl w:val="0"/>
          <w:numId w:val="0"/>
        </w:numPr>
        <w:ind w:hanging="0" w:start="0"/>
        <w:rPr/>
      </w:pPr>
      <w:r>
        <w:rPr/>
      </w:r>
    </w:p>
    <w:p>
      <w:pPr>
        <w:pStyle w:val="ListNumber"/>
        <w:numPr>
          <w:ilvl w:val="0"/>
          <w:numId w:val="0"/>
        </w:numPr>
        <w:ind w:hanging="0" w:start="0"/>
        <w:rPr/>
      </w:pPr>
      <w:r>
        <w:rPr/>
      </w:r>
    </w:p>
    <w:p>
      <w:pPr>
        <w:pStyle w:val="ListNumber"/>
        <w:numPr>
          <w:ilvl w:val="0"/>
          <w:numId w:val="0"/>
        </w:numPr>
        <w:ind w:hanging="0" w:start="0"/>
        <w:rPr>
          <w:b/>
        </w:rPr>
      </w:pPr>
      <w:r>
        <w:rPr>
          <w:b/>
        </w:rPr>
        <w:t>REQUEST CSG-NPU-1:</w:t>
      </w:r>
    </w:p>
    <w:p>
      <w:pPr>
        <w:pStyle w:val="ListNumber"/>
        <w:numPr>
          <w:ilvl w:val="0"/>
          <w:numId w:val="0"/>
        </w:numPr>
        <w:ind w:hanging="0" w:start="0"/>
        <w:rPr>
          <w:b/>
        </w:rPr>
      </w:pPr>
      <w:r>
        <w:rPr>
          <w:b/>
        </w:rPr>
      </w:r>
    </w:p>
    <w:p>
      <w:pPr>
        <w:pStyle w:val="Normal"/>
        <w:rPr>
          <w:rFonts w:ascii="Times New Roman" w:hAnsi="Times New Roman" w:cs="Times New Roman"/>
          <w:sz w:val="24"/>
        </w:rPr>
      </w:pPr>
      <w:r>
        <w:rPr>
          <w:rFonts w:cs="Times New Roman" w:ascii="Times New Roman" w:hAnsi="Times New Roman"/>
          <w:sz w:val="24"/>
        </w:rPr>
        <w:t>For each hour in the refund period of October 2, 2000 to June 20, 2001, in which you are able to demonstrate that you sold marginal energy to the California Independent System Operator, please provide the following data in machine readable (.xlsor .csv) format:  Date; Hour ending; Calculated marginal cost of energy supplied; Quantity of energy supplied.</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Fonts w:cs="Times New Roman" w:ascii="Times New Roman" w:hAnsi="Times New Roman"/>
          <w:b/>
          <w:sz w:val="24"/>
        </w:rPr>
        <w:t>OBJECTION AND RESPONSE:</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sz w:val="24"/>
        </w:rPr>
      </w:pPr>
      <w:r>
        <w:rPr>
          <w:rFonts w:cs="Times New Roman" w:ascii="Times New Roman" w:hAnsi="Times New Roman"/>
          <w:sz w:val="24"/>
        </w:rPr>
        <w:t>Colton objects to the foregoing request to the extent it seeks information concerning hours during which the prices at which Colton sold energy to the ISO were less than or equal to the Mitigated Market Clearing Prices (“MMCPs”) as calculated by the ISO on the grounds that the requested information is not relevant to any issue in this case or likely to lead to evidence that is relevant to any issue.  Without waiving the foregoing objection, Colton responds that the information requested is set forth in Exhibit SOC-1, the Direct Testimony of Nitin Modi on Behalf of the City of Colton, California Regarding Purchased Power Costs, filed in this docket on November 6, 2001.</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Certification Regarding Preparation of Response:  The foregoing response was prepared by counsel for the City of Colton, California.</w:t>
      </w:r>
    </w:p>
    <w:sectPr>
      <w:footerReference w:type="default" r:id="rId2"/>
      <w:footerReference w:type="first" r:id="rId3"/>
      <w:type w:val="nextPage"/>
      <w:pgSz w:w="12240" w:h="15840"/>
      <w:pgMar w:left="1440" w:right="1440" w:gutter="0" w:header="0" w:top="1440" w:footer="86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Kuenst480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Kuenst480 BT" w:hAnsi="Kuenst480 BT" w:eastAsia="Times New Roman" w:cs="Kuenst480 BT"/>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8080"/>
      <w:u w:val="none"/>
    </w:rPr>
  </w:style>
  <w:style w:type="character" w:styleId="FollowedHyperlink">
    <w:name w:val="FollowedHyperlink"/>
    <w:basedOn w:val="DefaultParagraphFont"/>
    <w:rPr>
      <w:color w:val="800080"/>
      <w:u w:val="none"/>
    </w:rPr>
  </w:style>
  <w:style w:type="character" w:styleId="PageNumber">
    <w:name w:val="page number"/>
    <w:basedOn w:val="DefaultParagraphFont"/>
    <w:rPr>
      <w:rFonts w:ascii="Kuenst480 BT" w:hAnsi="Kuenst480 BT" w:cs="Kuenst480 BT"/>
    </w:rPr>
  </w:style>
  <w:style w:type="character" w:styleId="FootnoteCharacters">
    <w:name w:val="Footnote Characters"/>
    <w:basedOn w:val="DefaultParagraphFont"/>
    <w:qFormat/>
    <w:rPr>
      <w:rFonts w:ascii="Kuenst480 BT" w:hAnsi="Kuenst480 BT" w:cs="Kuenst480 BT"/>
      <w:vertAlign w:val="superscript"/>
    </w:rPr>
  </w:style>
  <w:style w:type="character" w:styleId="LineNumber">
    <w:name w:val="line number"/>
    <w:basedOn w:val="DefaultParagraphFont"/>
    <w:rPr>
      <w:rFonts w:ascii="Kuenst480 BT" w:hAnsi="Kuenst480 BT" w:cs="Kuenst480 BT"/>
    </w:rPr>
  </w:style>
  <w:style w:type="character" w:styleId="EndnoteCharacters">
    <w:name w:val="Endnote Characters"/>
    <w:basedOn w:val="DefaultParagraphFont"/>
    <w:qFormat/>
    <w:rPr>
      <w:rFonts w:ascii="Kuenst480 BT" w:hAnsi="Kuenst480 BT" w:cs="Kuenst480 BT"/>
      <w:vertAlign w:val="superscrip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EnvelopeReturn">
    <w:name w:val="envelope return"/>
    <w:basedOn w:val="Normal"/>
    <w:pPr/>
    <w:rPr>
      <w:sz w:val="20"/>
    </w:rPr>
  </w:style>
  <w:style w:type="paragraph" w:styleId="1E4">
    <w:name w:val="(1) E4"/>
    <w:basedOn w:val="Normal"/>
    <w:qFormat/>
    <w:pPr>
      <w:tabs>
        <w:tab w:val="clear" w:pos="720"/>
        <w:tab w:val="left" w:pos="1440" w:leader="none"/>
      </w:tabs>
      <w:spacing w:lineRule="auto" w:line="420" w:before="0" w:after="120"/>
      <w:ind w:firstLine="720" w:start="1440" w:end="0"/>
      <w:jc w:val="both"/>
    </w:pPr>
    <w:rPr>
      <w:spacing w:val="-3"/>
    </w:rPr>
  </w:style>
  <w:style w:type="paragraph" w:styleId="aE3">
    <w:name w:val="(a) E3"/>
    <w:basedOn w:val="Normal"/>
    <w:qFormat/>
    <w:pPr>
      <w:tabs>
        <w:tab w:val="clear" w:pos="720"/>
        <w:tab w:val="left" w:pos="1440" w:leader="none"/>
        <w:tab w:val="left" w:pos="2160" w:leader="none"/>
        <w:tab w:val="left" w:pos="2880" w:leader="none"/>
        <w:tab w:val="left" w:pos="3600" w:leader="none"/>
      </w:tabs>
      <w:spacing w:lineRule="auto" w:line="420" w:before="120" w:after="120"/>
      <w:ind w:firstLine="720" w:start="720" w:end="0"/>
      <w:jc w:val="both"/>
    </w:pPr>
    <w:rPr>
      <w:spacing w:val="-3"/>
    </w:rPr>
  </w:style>
  <w:style w:type="paragraph" w:styleId="AE5">
    <w:name w:val="(A) E5"/>
    <w:basedOn w:val="Normal"/>
    <w:qFormat/>
    <w:pPr>
      <w:tabs>
        <w:tab w:val="clear" w:pos="720"/>
        <w:tab w:val="left" w:pos="1440" w:leader="none"/>
      </w:tabs>
      <w:spacing w:lineRule="auto" w:line="420" w:before="0" w:after="120"/>
      <w:ind w:firstLine="720" w:start="2160" w:end="0"/>
      <w:jc w:val="both"/>
    </w:pPr>
    <w:rPr>
      <w:spacing w:val="-3"/>
    </w:rPr>
  </w:style>
  <w:style w:type="paragraph" w:styleId="ARTICLEE1">
    <w:name w:val="ARTICLE E1"/>
    <w:basedOn w:val="Normal"/>
    <w:next w:val="Normal"/>
    <w:qFormat/>
    <w:pPr>
      <w:keepNext w:val="true"/>
      <w:keepLines/>
      <w:tabs>
        <w:tab w:val="left" w:pos="720" w:leader="none"/>
        <w:tab w:val="left" w:pos="1440" w:leader="none"/>
      </w:tabs>
      <w:spacing w:lineRule="auto" w:line="420" w:before="120" w:after="0"/>
      <w:jc w:val="center"/>
    </w:pPr>
    <w:rPr>
      <w:b/>
      <w:smallCaps/>
      <w:kern w:val="2"/>
      <w:sz w:val="28"/>
    </w:rPr>
  </w:style>
  <w:style w:type="paragraph" w:styleId="SECTIONE2">
    <w:name w:val="SECTION E2"/>
    <w:basedOn w:val="Normal"/>
    <w:next w:val="Normal"/>
    <w:qFormat/>
    <w:pPr>
      <w:keepNext w:val="true"/>
      <w:keepLines/>
      <w:tabs>
        <w:tab w:val="clear" w:pos="720"/>
        <w:tab w:val="left" w:pos="1800" w:leader="none"/>
        <w:tab w:val="left" w:pos="2880" w:leader="none"/>
        <w:tab w:val="left" w:pos="3600" w:leader="none"/>
      </w:tabs>
      <w:spacing w:lineRule="auto" w:line="420" w:before="120" w:after="120"/>
      <w:jc w:val="both"/>
    </w:pPr>
    <w:rPr>
      <w:b/>
      <w:small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260"/>
    </w:pPr>
    <w:rPr>
      <w:sz w:val="20"/>
    </w:rPr>
  </w:style>
  <w:style w:type="paragraph" w:styleId="Header">
    <w:name w:val="header"/>
    <w:basedOn w:val="Normal"/>
    <w:pPr>
      <w:tabs>
        <w:tab w:val="clear" w:pos="720"/>
        <w:tab w:val="center" w:pos="4680" w:leader="none"/>
        <w:tab w:val="right" w:pos="9360" w:leader="none"/>
      </w:tabs>
    </w:pPr>
    <w:rPr/>
  </w:style>
  <w:style w:type="paragraph" w:styleId="TOC3">
    <w:name w:val="toc 3"/>
    <w:basedOn w:val="Normal"/>
    <w:next w:val="Normal"/>
    <w:pPr>
      <w:ind w:hanging="0" w:start="440" w:end="0"/>
    </w:pPr>
    <w:rPr/>
  </w:style>
  <w:style w:type="paragraph" w:styleId="ListNumber">
    <w:name w:val="List Number"/>
    <w:basedOn w:val="Normal"/>
    <w:qFormat/>
    <w:pPr>
      <w:numPr>
        <w:ilvl w:val="0"/>
        <w:numId w:val="2"/>
      </w:numPr>
      <w:tabs>
        <w:tab w:val="clear" w:pos="720"/>
        <w:tab w:val="left" w:pos="648" w:leader="none"/>
      </w:tabs>
      <w:jc w:val="both"/>
    </w:pPr>
    <w:rPr>
      <w:rFonts w:ascii="Times New Roman" w:hAnsi="Times New Roman" w:cs="Times New Roman"/>
      <w:sz w:val="24"/>
    </w:rPr>
  </w:style>
  <w:style w:type="paragraph" w:styleId="Index1">
    <w:name w:val="index 1"/>
    <w:basedOn w:val="Normal"/>
    <w:next w:val="Normal"/>
    <w:pPr>
      <w:ind w:hanging="220" w:start="22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60"/>
      <w:jc w:val="center"/>
      <w:outlineLvl w:val="1"/>
    </w:pPr>
    <w:rPr>
      <w:sz w:val="24"/>
    </w:rPr>
  </w:style>
  <w:style w:type="paragraph" w:styleId="TOAHeading">
    <w:name w:val="TOA Heading"/>
    <w:basedOn w:val="Normal"/>
    <w:next w:val="Normal"/>
    <w:qFormat/>
    <w:pPr>
      <w:spacing w:before="120" w:after="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2001-11-07T18:34:00Z</dcterms:created>
  <dc:creator>Thompson Coburn</dc:creator>
  <dc:description/>
  <dc:language>en-CA</dc:language>
  <cp:lastModifiedBy>Thompson Coburn</cp:lastModifiedBy>
  <cp:lastPrinted>2001-11-07T16:00:00Z</cp:lastPrinted>
  <dcterms:modified xsi:type="dcterms:W3CDTF">2001-11-07T18:34:00Z</dcterms:modified>
  <cp:revision>2</cp:revision>
  <dc:subject/>
  <dc:title>UNITED STATES OF AMERICA</dc:title>
</cp:coreProperties>
</file>