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4,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OGS Pipeline, LLC</w:t>
      </w:r>
    </w:p>
    <w:p>
      <w:pPr>
        <w:pStyle w:val="Normal"/>
        <w:widowControl/>
        <w:jc w:val="both"/>
        <w:rPr>
          <w:sz w:val="22"/>
        </w:rPr>
      </w:pPr>
      <w:r>
        <w:rPr>
          <w:sz w:val="22"/>
        </w:rPr>
        <w:t>908 Town &amp; Country Blvd., Suite 300</w:t>
      </w:r>
    </w:p>
    <w:p>
      <w:pPr>
        <w:pStyle w:val="Normal"/>
        <w:widowControl/>
        <w:jc w:val="both"/>
        <w:rPr>
          <w:sz w:val="22"/>
        </w:rPr>
      </w:pPr>
      <w:r>
        <w:rPr>
          <w:sz w:val="22"/>
        </w:rPr>
        <w:t>Houston, TX 77024-2211</w:t>
      </w:r>
    </w:p>
    <w:p>
      <w:pPr>
        <w:pStyle w:val="Normal"/>
        <w:widowControl/>
        <w:jc w:val="both"/>
        <w:rPr>
          <w:sz w:val="22"/>
        </w:rPr>
      </w:pPr>
      <w:r>
        <w:rPr>
          <w:sz w:val="22"/>
        </w:rPr>
        <w:t>Attn: John Gillies, President</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Compression Services Company</w:t>
      </w:r>
      <w:r>
        <w:rPr>
          <w:sz w:val="22"/>
        </w:rPr>
        <w:t>, a Delaware corporation ("ECS") and</w:t>
      </w:r>
      <w:r>
        <w:rPr>
          <w:b/>
          <w:sz w:val="22"/>
        </w:rPr>
        <w:t xml:space="preserve"> OGS Pipeline, LLC</w:t>
      </w:r>
      <w:r>
        <w:rPr>
          <w:sz w:val="22"/>
        </w:rPr>
        <w:t xml:space="preserve">, a </w:t>
      </w:r>
      <w:r>
        <w:rPr>
          <w:sz w:val="22"/>
          <w:highlight w:val="yellow"/>
        </w:rPr>
        <w:t>__________________</w:t>
      </w:r>
      <w:r>
        <w:rPr>
          <w:sz w:val="22"/>
        </w:rPr>
        <w:t xml:space="preserve"> limited liability company ("OGS"), for the provision of compression services utilizing electric motor drivers at OGS’s Hinkle Station in Rusk County, Texas (the "Project").  OGS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4"/>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December 1,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4"/>
        </w:numPr>
        <w:spacing w:before="120" w:after="0"/>
        <w:ind w:firstLine="810" w:start="-90" w:end="0"/>
        <w:jc w:val="both"/>
        <w:rPr>
          <w:sz w:val="22"/>
        </w:rPr>
      </w:pPr>
      <w:r>
        <w:rPr>
          <w:b/>
          <w:bCs/>
          <w:sz w:val="22"/>
        </w:rPr>
        <w:t xml:space="preserve">Non-Binding.  </w:t>
      </w:r>
      <w:r>
        <w:rPr>
          <w:sz w:val="22"/>
        </w:rPr>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Pricing Changes.</w:t>
      </w:r>
      <w:r>
        <w:rPr/>
        <w:t xml:space="preserve">  The pricing, terms, and conditions set forth in this document are based upon current natural gas, power and equipment pricing.  Changes in natural gas prices (NYMEX + Index + Basis) at East TETCO, the Rusk County Electric Cooperative, Inc. power tariff, and/or compression equipment capital costs may result in changes to any and all of the pricing, terms, and conditions presented in this document.</w:t>
      </w:r>
    </w:p>
    <w:p>
      <w:pPr>
        <w:pStyle w:val="BodyText3"/>
        <w:ind w:firstLine="720" w:end="0"/>
        <w:rPr/>
      </w:pPr>
      <w:r>
        <w:rPr/>
        <w:t xml:space="preserve">4.  </w:t>
      </w:r>
      <w:r>
        <w:rPr>
          <w:b/>
          <w:bCs/>
        </w:rPr>
        <w:t>Capital Expenditures.</w:t>
      </w:r>
      <w:r>
        <w:rPr/>
        <w:t xml:space="preserve">  These terms are based on the installation and maintenance of </w:t>
      </w:r>
      <w:r>
        <w:rPr>
          <w:color w:val="FF0000"/>
        </w:rPr>
        <w:t xml:space="preserve">two (2) 3,000 </w:t>
      </w:r>
      <w:r>
        <w:rPr/>
        <w:t>electrically driven brake horsepower utilizing reciprocating compressor</w:t>
      </w:r>
      <w:r>
        <w:rPr>
          <w:color w:val="FF0000"/>
        </w:rPr>
        <w:t xml:space="preserve"> packages</w:t>
      </w:r>
      <w:r>
        <w:rPr/>
        <w:t xml:space="preserve">.  Under the terms of this proposal, </w:t>
      </w:r>
      <w:r>
        <w:rPr>
          <w:color w:val="0000FF"/>
        </w:rPr>
        <w:t>ECS proposes to provide capital financing for the purchase of the compressor packages, the installation of the compressor packages and the construction of the electrical transmision line</w:t>
      </w:r>
      <w:r>
        <w:rPr/>
        <w:t xml:space="preserve"> at the proposed OGS site located adjacent to the existing Hinkle facility.  The capital financing would incorporate fixed turnkey expenses for the equipment and installation of the compressor/motor skids, the motor control building and the new suction and discharge headers</w:t>
      </w:r>
      <w:r>
        <w:rPr>
          <w:color w:val="0000FF"/>
        </w:rPr>
        <w:t xml:space="preserve"> at a cost of </w:t>
      </w:r>
      <w:r>
        <w:rPr>
          <w:color w:val="FF0000"/>
        </w:rPr>
        <w:t>$2,800,000</w:t>
      </w:r>
      <w:r>
        <w:rPr>
          <w:color w:val="0000FF"/>
        </w:rPr>
        <w:t>.</w:t>
      </w:r>
      <w:r>
        <w:rPr/>
        <w:t xml:space="preserve">  </w:t>
      </w:r>
      <w:r>
        <w:rPr>
          <w:color w:val="0000FF"/>
        </w:rPr>
        <w:t xml:space="preserve">The capital financing would also include the proposed 1.66-mile electrical transmission line lateral terminating at the new substation adjacent to the proposed compressor station site at an estimated cost of $500,000; any actual expenditures above the estimated capital cost of the transmission line would be the responsibility of OGS.  </w:t>
      </w:r>
    </w:p>
    <w:p>
      <w:pPr>
        <w:pStyle w:val="Normal"/>
        <w:jc w:val="both"/>
        <w:rPr>
          <w:color w:val="0000FF"/>
          <w:sz w:val="22"/>
        </w:rPr>
      </w:pPr>
      <w:r>
        <w:rPr>
          <w:color w:val="0000FF"/>
          <w:sz w:val="22"/>
        </w:rPr>
      </w:r>
    </w:p>
    <w:p>
      <w:pPr>
        <w:pStyle w:val="Normal"/>
        <w:ind w:firstLine="720" w:end="0"/>
        <w:jc w:val="both"/>
        <w:rPr/>
      </w:pPr>
      <w:r>
        <w:rPr>
          <w:sz w:val="22"/>
        </w:rPr>
        <w:t xml:space="preserve">5.  </w:t>
      </w:r>
      <w:r>
        <w:rPr>
          <w:b/>
          <w:bCs/>
          <w:sz w:val="22"/>
        </w:rPr>
        <w:t xml:space="preserve">In-Service Dates.  </w:t>
      </w:r>
      <w:r>
        <w:rPr>
          <w:sz w:val="22"/>
        </w:rPr>
        <w:t xml:space="preserve">The estimated in-service date for the </w:t>
      </w:r>
      <w:r>
        <w:rPr>
          <w:color w:val="FF0000"/>
          <w:sz w:val="22"/>
        </w:rPr>
        <w:t>two (2) 3,000</w:t>
      </w:r>
      <w:r>
        <w:rPr>
          <w:sz w:val="22"/>
        </w:rPr>
        <w:t xml:space="preserve"> electrically driven compressors and the substation is </w:t>
      </w:r>
      <w:r>
        <w:rPr>
          <w:color w:val="0000FF"/>
          <w:sz w:val="22"/>
        </w:rPr>
        <w:t>July 1, 2003</w:t>
      </w:r>
      <w:r>
        <w:rPr>
          <w:sz w:val="22"/>
        </w:rPr>
        <w:t xml:space="preserve">.  The estimated in-service date for the 1.66-mile transmission line is also </w:t>
      </w:r>
      <w:r>
        <w:rPr>
          <w:color w:val="0000FF"/>
          <w:sz w:val="22"/>
        </w:rPr>
        <w:t>July 1, 2003</w:t>
      </w:r>
      <w:r>
        <w:rPr>
          <w:sz w:val="22"/>
        </w:rPr>
        <w:t>.  Such in-service dates are not guaranteed.</w:t>
      </w:r>
    </w:p>
    <w:p>
      <w:pPr>
        <w:pStyle w:val="Normal"/>
        <w:jc w:val="both"/>
        <w:rPr>
          <w:sz w:val="22"/>
        </w:rPr>
      </w:pPr>
      <w:r>
        <w:rPr>
          <w:sz w:val="22"/>
        </w:rPr>
      </w:r>
    </w:p>
    <w:p>
      <w:pPr>
        <w:pStyle w:val="Normal"/>
        <w:jc w:val="both"/>
        <w:rPr/>
      </w:pPr>
      <w:r>
        <w:rPr>
          <w:sz w:val="22"/>
        </w:rPr>
        <w:tab/>
        <w:t xml:space="preserve">6.  </w:t>
      </w:r>
      <w:r>
        <w:rPr>
          <w:b/>
          <w:bCs/>
          <w:sz w:val="22"/>
        </w:rPr>
        <w:t>Contract Term.</w:t>
      </w:r>
      <w:r>
        <w:rPr>
          <w:sz w:val="22"/>
        </w:rPr>
        <w:t xml:space="preserve">  The term of the proposed transaction to purchase shaft horsepower from ECS is 5-years, beginning </w:t>
      </w:r>
      <w:r>
        <w:rPr>
          <w:color w:val="0000FF"/>
          <w:sz w:val="22"/>
        </w:rPr>
        <w:t xml:space="preserve">July 1, 2003 and ending June 30, 2008. </w:t>
      </w:r>
    </w:p>
    <w:p>
      <w:pPr>
        <w:pStyle w:val="Heading5"/>
        <w:ind w:hanging="0" w:start="0"/>
        <w:jc w:val="both"/>
        <w:rPr>
          <w:color w:val="0000FF"/>
          <w:sz w:val="22"/>
          <w:u w:val="none"/>
        </w:rPr>
      </w:pPr>
      <w:r>
        <w:rPr>
          <w:color w:val="0000FF"/>
          <w:sz w:val="22"/>
          <w:u w:val="none"/>
        </w:rPr>
      </w:r>
    </w:p>
    <w:p>
      <w:pPr>
        <w:pStyle w:val="BodyText"/>
        <w:widowControl w:val="false"/>
        <w:spacing w:before="0" w:after="0"/>
        <w:rPr/>
      </w:pPr>
      <w:r>
        <w:rPr/>
        <w:tab/>
        <w:t xml:space="preserve">7.  </w:t>
      </w:r>
      <w:r>
        <w:rPr>
          <w:b/>
          <w:bCs/>
        </w:rPr>
        <w:t>Equipment Installation.</w:t>
      </w:r>
      <w:r>
        <w:rPr/>
        <w:t xml:space="preserve">  ECS has completed the design and equipment selection of the electric drive trains to facilitate the execution of this transaction.  ECS would also arrange for the equipment delivery and installation of the electric motor driven reciprocating compressors and the electrical substation to regulate the transmission grade voltage.  ECS would also arrange for the construction by Rusk County Electric Cooperative, Inc. of the proposed transmission line into the proposed compressor site. </w:t>
      </w:r>
    </w:p>
    <w:p>
      <w:pPr>
        <w:pStyle w:val="BodyText"/>
        <w:widowControl w:val="false"/>
        <w:spacing w:before="0" w:after="0"/>
        <w:rPr>
          <w:color w:val="FF0000"/>
        </w:rPr>
      </w:pPr>
      <w:r>
        <w:rPr>
          <w:color w:val="FF0000"/>
        </w:rPr>
      </w:r>
    </w:p>
    <w:p>
      <w:pPr>
        <w:pStyle w:val="BodyText"/>
        <w:widowControl w:val="false"/>
        <w:spacing w:before="0" w:after="0"/>
        <w:ind w:firstLine="720" w:end="0"/>
        <w:rPr/>
      </w:pPr>
      <w:r>
        <w:rPr/>
        <w:t xml:space="preserve">8.  </w:t>
      </w:r>
      <w:r>
        <w:rPr>
          <w:b/>
          <w:bCs/>
        </w:rPr>
        <w:t>Ownership, Operations and Maintenance.</w:t>
      </w:r>
      <w:r>
        <w:rPr/>
        <w:t xml:space="preserve">  ECS would maintain ownership and responsibility for all maintenance of the electrical drive train throughout the contract term.  </w:t>
      </w:r>
      <w:r>
        <w:rPr>
          <w:highlight w:val="cyan"/>
        </w:rPr>
        <w:t>OGS would maintain ownership and responsibility for all maintenance of the reciprocating gas compressors throughout the contract term</w:t>
      </w:r>
      <w:r>
        <w:rPr/>
        <w:t xml:space="preserve">.  OGS would provide and own all surface easement and rights-of-way for the drive trains and compressors, excluding the power line facilities.  In addition, OGS would be responsible for </w:t>
      </w:r>
      <w:r>
        <w:rPr>
          <w:color w:val="0000FF"/>
        </w:rPr>
        <w:t>operating</w:t>
      </w:r>
      <w:r>
        <w:rPr/>
        <w:t xml:space="preserve"> the drive trains and compressors in accordance with prudent industry practice.  OGS would operate and control both the electrical drive train and the reciprocating compression equipment and provide reporting and coordination activities associated with the ECS’ maintenance of the electrical drive trains.</w:t>
      </w:r>
    </w:p>
    <w:p>
      <w:pPr>
        <w:pStyle w:val="BodyText"/>
        <w:widowControl w:val="false"/>
        <w:spacing w:before="0" w:after="0"/>
        <w:rPr/>
      </w:pPr>
      <w:r>
        <w:rPr/>
      </w:r>
    </w:p>
    <w:p>
      <w:pPr>
        <w:pStyle w:val="Heading5"/>
        <w:tabs>
          <w:tab w:val="clear" w:pos="720"/>
          <w:tab w:val="left" w:pos="1170" w:leader="none"/>
        </w:tabs>
        <w:spacing w:before="0" w:after="120"/>
        <w:ind w:firstLine="720" w:start="0" w:end="0"/>
        <w:jc w:val="both"/>
        <w:rPr/>
      </w:pPr>
      <w:r>
        <w:rPr>
          <w:u w:val="none"/>
        </w:rPr>
        <w:t xml:space="preserve">9.  </w:t>
      </w:r>
      <w:r>
        <w:rPr>
          <w:b/>
          <w:bCs/>
          <w:u w:val="none"/>
        </w:rPr>
        <w:t xml:space="preserve">Delivery of HP – Hours.  </w:t>
      </w:r>
      <w:r>
        <w:rPr>
          <w:u w:val="none"/>
        </w:rPr>
        <w:t>The physical shaft between the electric drive motor and the compressor would serve as the point of delivery of Hp–Hours from ECS to OGS.  Monthly Hp–Hour usage would be determined by measurement of the KWh usage at the primary meter and then applying the following formula:</w:t>
      </w:r>
    </w:p>
    <w:p>
      <w:pPr>
        <w:pStyle w:val="BodyText3"/>
        <w:spacing w:before="0" w:after="120"/>
        <w:rPr/>
      </w:pPr>
      <w:r>
        <w:rPr/>
        <w:tab/>
        <w:t>(Total Monthly Kilowatt Hour Usage from the Primary Meter) x (1.341 HP/Kilowatt)</w:t>
      </w:r>
    </w:p>
    <w:p>
      <w:pPr>
        <w:pStyle w:val="BodyText"/>
        <w:spacing w:before="0" w:after="80"/>
        <w:rPr/>
      </w:pPr>
      <w:r>
        <w:rPr/>
        <w:tab/>
        <w:t xml:space="preserve">10.  </w:t>
      </w:r>
      <w:r>
        <w:rPr>
          <w:b/>
          <w:bCs/>
        </w:rPr>
        <w:t xml:space="preserve">Payment Structure.  </w:t>
      </w:r>
      <w:r>
        <w:rPr/>
        <w:t>In consideration for the delivery of HP-hours by ECS, OGS would pay ECS in a multi-part compensation structure, at OGS’s option, as follows:</w:t>
      </w:r>
    </w:p>
    <w:p>
      <w:pPr>
        <w:pStyle w:val="BodyText3"/>
        <w:numPr>
          <w:ilvl w:val="0"/>
          <w:numId w:val="2"/>
        </w:numPr>
        <w:spacing w:before="0" w:after="100"/>
        <w:rPr/>
      </w:pPr>
      <w:r>
        <w:rPr/>
        <w:t xml:space="preserve"> </w:t>
      </w:r>
      <w:r>
        <w:rPr>
          <w:b/>
          <w:bCs/>
        </w:rPr>
        <w:t xml:space="preserve">Service Charge, Annual Charge and Variable Charge.  </w:t>
      </w:r>
    </w:p>
    <w:p>
      <w:pPr>
        <w:pStyle w:val="BodyText3"/>
        <w:numPr>
          <w:ilvl w:val="0"/>
          <w:numId w:val="3"/>
        </w:numPr>
        <w:spacing w:before="0" w:after="100"/>
        <w:rPr>
          <w:color w:val="0000FF"/>
        </w:rPr>
      </w:pPr>
      <w:r>
        <w:rPr>
          <w:b/>
          <w:bCs/>
        </w:rPr>
        <w:t>Service Charge.</w:t>
      </w:r>
      <w:r>
        <w:rPr/>
        <w:t xml:space="preserve">  The “Service Charge” is a fixed natural gas payment that is structured to have the appearance of a gas-fired driver’s fuel consumption at optimal efficiencies.  OGS would have the option to deliver firm natural gas volumes to ECS on a monthly basis.  The delivery of firm natural gas would be at a defined delivery point meter, East TETCO, for the delivery of HP-Hours.  The delivery of natural gas volumes, in the amount of 43,000 MMBtu per month, would begin on </w:t>
      </w:r>
      <w:r>
        <w:rPr>
          <w:color w:val="0000FF"/>
        </w:rPr>
        <w:t>July 1, 2003 and end on June 30, 2008.</w:t>
      </w:r>
    </w:p>
    <w:p>
      <w:pPr>
        <w:pStyle w:val="BodyText3"/>
        <w:spacing w:before="0" w:after="80"/>
        <w:ind w:start="2280" w:end="0"/>
        <w:rPr/>
      </w:pPr>
      <w:r>
        <w:rPr/>
        <w:t>As stated earlier, gas volumes delivered by OGS are predicated on a forward view of gas pricing at East TETCO.  An increase in said gas pricing prior to the execution of definitive documents would result in a decrease in the Annual Charge due ECS and a decrease in gas prices prior to closing would result in an increase in the Annual Charge (Refer to Table 1 below).</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and variable power costs, taxes and other components of the bundled service not covered by the natural gas payment or “Service Charge”.  Based on current natural gas prices, the Annual Charge due ECS equals $1,326,000 annually due in equal monthly installments of $110,500.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Service Charge and Annual Charge compensate ECS for an assumed minimum load factor of 95%.  Any actual usage above a 95% load would be assessed a variable $/Horsepower – Hour rate of </w:t>
      </w:r>
      <w:r>
        <w:rPr>
          <w:color w:val="0000FF"/>
        </w:rPr>
        <w:t>$.0463</w:t>
      </w:r>
      <w:r>
        <w:rPr/>
        <w:t xml:space="preserve"> and would result in a variable cash payment to ECS.</w:t>
      </w:r>
    </w:p>
    <w:p>
      <w:pPr>
        <w:pStyle w:val="BodyText3"/>
        <w:ind w:start="1915" w:end="0"/>
        <w:rPr/>
      </w:pPr>
      <w:r>
        <w:rPr/>
      </w:r>
    </w:p>
    <w:tbl>
      <w:tblPr>
        <w:tblW w:w="9084" w:type="dxa"/>
        <w:jc w:val="start"/>
        <w:tblInd w:w="577" w:type="dxa"/>
        <w:tblLayout w:type="fixed"/>
        <w:tblCellMar>
          <w:top w:w="0" w:type="dxa"/>
          <w:start w:w="0" w:type="dxa"/>
          <w:bottom w:w="0" w:type="dxa"/>
          <w:end w:w="0" w:type="dxa"/>
        </w:tblCellMar>
      </w:tblPr>
      <w:tblGrid>
        <w:gridCol w:w="2215"/>
        <w:gridCol w:w="985"/>
        <w:gridCol w:w="979"/>
        <w:gridCol w:w="979"/>
        <w:gridCol w:w="979"/>
        <w:gridCol w:w="979"/>
        <w:gridCol w:w="992"/>
        <w:gridCol w:w="976"/>
      </w:tblGrid>
      <w:tr>
        <w:trPr>
          <w:trHeight w:val="282" w:hRule="atLeast"/>
        </w:trPr>
        <w:tc>
          <w:tcPr>
            <w:tcW w:w="7116" w:type="dxa"/>
            <w:gridSpan w:val="6"/>
            <w:tcBorders>
              <w:top w:val="single" w:sz="8" w:space="0" w:color="000000"/>
              <w:start w:val="single" w:sz="8" w:space="0" w:color="000000"/>
            </w:tcBorders>
            <w:shd w:fill="FFFFFF" w:val="clear"/>
            <w:vAlign w:val="bottom"/>
          </w:tcPr>
          <w:p>
            <w:pPr>
              <w:pStyle w:val="Normal"/>
              <w:rPr>
                <w:rFonts w:ascii="Arial" w:hAnsi="Arial" w:eastAsia="Arial Unicode MS" w:cs="Arial"/>
                <w:b/>
                <w:bCs/>
              </w:rPr>
            </w:pPr>
            <w:r>
              <w:rPr>
                <w:rFonts w:cs="Arial" w:ascii="Arial" w:hAnsi="Arial"/>
                <w:b/>
                <w:bCs/>
              </w:rPr>
              <w:t xml:space="preserve">Table 1:  Annual Charges based the delivery of 43,000 MMBtu/d </w:t>
            </w:r>
          </w:p>
        </w:tc>
        <w:tc>
          <w:tcPr>
            <w:tcW w:w="992" w:type="dxa"/>
            <w:tcBorders>
              <w:top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top w:val="single" w:sz="8"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r>
      <w:tr>
        <w:trPr>
          <w:trHeight w:val="282" w:hRule="atLeast"/>
        </w:trPr>
        <w:tc>
          <w:tcPr>
            <w:tcW w:w="2215" w:type="dxa"/>
            <w:tcBorders>
              <w:start w:val="single" w:sz="8" w:space="0" w:color="000000"/>
            </w:tcBorders>
            <w:shd w:fill="FFFFFF" w:val="clear"/>
            <w:vAlign w:val="bottom"/>
          </w:tcPr>
          <w:p>
            <w:pPr>
              <w:pStyle w:val="Normal"/>
              <w:rPr>
                <w:rFonts w:ascii="Arial" w:hAnsi="Arial" w:eastAsia="Arial Unicode MS" w:cs="Arial"/>
                <w:b/>
                <w:bCs/>
                <w:color w:val="FFFFFF"/>
              </w:rPr>
            </w:pPr>
            <w:r>
              <w:rPr>
                <w:rFonts w:cs="Arial" w:ascii="Arial" w:hAnsi="Arial"/>
                <w:b/>
                <w:bCs/>
                <w:color w:val="FFFFFF"/>
              </w:rPr>
              <w:t> </w:t>
            </w:r>
          </w:p>
        </w:tc>
        <w:tc>
          <w:tcPr>
            <w:tcW w:w="6869" w:type="dxa"/>
            <w:gridSpan w:val="7"/>
            <w:tcBorders>
              <w:top w:val="single" w:sz="8"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b/>
                <w:bCs/>
              </w:rPr>
            </w:pPr>
            <w:r>
              <w:rPr>
                <w:rFonts w:cs="Arial" w:ascii="Arial" w:hAnsi="Arial"/>
                <w:b/>
                <w:bCs/>
              </w:rPr>
              <w:t>Gas Prices ($/MMBTU)</w:t>
            </w:r>
          </w:p>
        </w:tc>
      </w:tr>
      <w:tr>
        <w:trPr>
          <w:trHeight w:val="282" w:hRule="atLeast"/>
        </w:trPr>
        <w:tc>
          <w:tcPr>
            <w:tcW w:w="2215" w:type="dxa"/>
            <w:tcBorders>
              <w:start w:val="single" w:sz="8" w:space="0" w:color="000000"/>
            </w:tcBorders>
            <w:shd w:fill="FFFFFF" w:val="clear"/>
            <w:vAlign w:val="bottom"/>
          </w:tcPr>
          <w:p>
            <w:pPr>
              <w:pStyle w:val="Normal"/>
              <w:jc w:val="center"/>
              <w:rPr>
                <w:rFonts w:ascii="Arial" w:hAnsi="Arial" w:eastAsia="Arial Unicode MS" w:cs="Arial"/>
                <w:b/>
                <w:bCs/>
                <w:color w:val="FFFFFF"/>
              </w:rPr>
            </w:pPr>
            <w:r>
              <w:rPr>
                <w:rFonts w:cs="Arial" w:ascii="Arial" w:hAnsi="Arial"/>
                <w:b/>
                <w:bCs/>
                <w:color w:val="FFFFFF"/>
              </w:rPr>
              <w:t> </w:t>
            </w:r>
          </w:p>
        </w:tc>
        <w:tc>
          <w:tcPr>
            <w:tcW w:w="985" w:type="dxa"/>
            <w:tcBorders>
              <w:start w:val="single" w:sz="8" w:space="0" w:color="000000"/>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2.88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2.98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3.08 </w:t>
            </w:r>
          </w:p>
        </w:tc>
        <w:tc>
          <w:tcPr>
            <w:tcW w:w="979" w:type="dxa"/>
            <w:tcBorders>
              <w:bottom w:val="single" w:sz="8" w:space="0" w:color="000000"/>
              <w:end w:val="single" w:sz="4" w:space="0" w:color="000000"/>
            </w:tcBorders>
            <w:shd w:fill="FFFF99"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3.18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3.28 </w:t>
            </w:r>
          </w:p>
        </w:tc>
        <w:tc>
          <w:tcPr>
            <w:tcW w:w="992"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3.38 </w:t>
            </w:r>
          </w:p>
        </w:tc>
        <w:tc>
          <w:tcPr>
            <w:tcW w:w="976" w:type="dxa"/>
            <w:tcBorders>
              <w:bottom w:val="single" w:sz="8" w:space="0" w:color="000000"/>
              <w:end w:val="single" w:sz="8"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3.48 </w:t>
            </w:r>
          </w:p>
        </w:tc>
      </w:tr>
      <w:tr>
        <w:trPr>
          <w:trHeight w:val="282" w:hRule="atLeast"/>
        </w:trPr>
        <w:tc>
          <w:tcPr>
            <w:tcW w:w="2215" w:type="dxa"/>
            <w:tcBorders>
              <w:top w:val="single" w:sz="8" w:space="0" w:color="000000"/>
              <w:start w:val="single" w:sz="8" w:space="0" w:color="000000"/>
              <w:bottom w:val="single" w:sz="8" w:space="0" w:color="000000"/>
              <w:end w:val="single" w:sz="8" w:space="0" w:color="000000"/>
            </w:tcBorders>
            <w:shd w:fill="FFFFFF" w:val="clear"/>
            <w:vAlign w:val="bottom"/>
          </w:tcPr>
          <w:p>
            <w:pPr>
              <w:pStyle w:val="Normal"/>
              <w:jc w:val="center"/>
              <w:rPr>
                <w:rFonts w:ascii="Arial" w:hAnsi="Arial" w:eastAsia="Arial Unicode MS" w:cs="Arial"/>
                <w:b/>
                <w:bCs/>
              </w:rPr>
            </w:pPr>
            <w:r>
              <w:rPr>
                <w:rFonts w:cs="Arial" w:ascii="Arial" w:hAnsi="Arial"/>
                <w:b/>
                <w:bCs/>
              </w:rPr>
              <w:t>Annual Charge ($M)</w:t>
            </w:r>
          </w:p>
        </w:tc>
        <w:tc>
          <w:tcPr>
            <w:tcW w:w="985" w:type="dxa"/>
            <w:tcBorders>
              <w:top w:val="single" w:sz="4" w:space="0" w:color="000000"/>
              <w:start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1,481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1,429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1,378 </w:t>
            </w:r>
          </w:p>
        </w:tc>
        <w:tc>
          <w:tcPr>
            <w:tcW w:w="979" w:type="dxa"/>
            <w:tcBorders>
              <w:top w:val="single" w:sz="4" w:space="0" w:color="000000"/>
              <w:bottom w:val="single" w:sz="8" w:space="0" w:color="000000"/>
              <w:end w:val="single" w:sz="4" w:space="0" w:color="000000"/>
            </w:tcBorders>
            <w:shd w:fill="FFFF99"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1,326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1,274 </w:t>
            </w:r>
          </w:p>
        </w:tc>
        <w:tc>
          <w:tcPr>
            <w:tcW w:w="992"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1,223 </w:t>
            </w:r>
          </w:p>
        </w:tc>
        <w:tc>
          <w:tcPr>
            <w:tcW w:w="976" w:type="dxa"/>
            <w:tcBorders>
              <w:top w:val="single" w:sz="4" w:space="0" w:color="000000"/>
              <w:bottom w:val="single" w:sz="8" w:space="0" w:color="000000"/>
              <w:end w:val="single" w:sz="8"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1,171 </w:t>
            </w:r>
          </w:p>
        </w:tc>
      </w:tr>
    </w:tbl>
    <w:p>
      <w:pPr>
        <w:pStyle w:val="BodyText3"/>
        <w:spacing w:before="0" w:after="80"/>
        <w:rPr/>
      </w:pPr>
      <w:r>
        <w:rPr/>
      </w:r>
    </w:p>
    <w:p>
      <w:pPr>
        <w:pStyle w:val="BodyText3"/>
        <w:spacing w:before="0" w:after="80"/>
        <w:rPr/>
      </w:pPr>
      <w:r>
        <w:rPr/>
      </w:r>
    </w:p>
    <w:p>
      <w:pPr>
        <w:pStyle w:val="BodyText3"/>
        <w:spacing w:before="0" w:after="100"/>
        <w:ind w:start="720" w:end="0"/>
        <w:rPr/>
      </w:pPr>
      <w:r>
        <w:rPr/>
        <w:t xml:space="preserve">     </w:t>
      </w:r>
      <w:r>
        <w:rPr/>
        <w:t xml:space="preserve">b.) </w:t>
      </w:r>
      <w:r>
        <w:rPr>
          <w:b/>
          <w:bCs/>
        </w:rPr>
        <w:t xml:space="preserve">Annual Charge and Variable Charge. </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power costs, taxes and other components of the bundled service.  The Annual Charge due ECS equals $1,326,000 annually due in equal monthly installments of $110,500.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“Variable Charge” is a variable cash payment structured to cover variable power costs.  The Variable Charge is based on a fixed market price for system firm wholesale generation over the proposed 5-year term.  ECS would receive $.0315/Horsepower-Hour for the delivery of actual hp-hours.  The variable rate would be re-priced at the time of deal execution.  The Transmission and Distribution (T&amp;D) charges would remain under regulatory control and therefore, any rate changes would be a direct pass-through to OGS.  </w:t>
      </w:r>
    </w:p>
    <w:p>
      <w:pPr>
        <w:pStyle w:val="BodyText3"/>
        <w:spacing w:before="0" w:after="80"/>
        <w:ind w:start="2280" w:end="0"/>
        <w:rPr/>
      </w:pPr>
      <w:r>
        <w:rPr/>
        <w:t>The variable rate is based on a minimum 95% load up to a 100% load.  The calculation is as follows:</w:t>
      </w:r>
    </w:p>
    <w:p>
      <w:pPr>
        <w:pStyle w:val="BodyText3"/>
        <w:spacing w:before="0" w:after="120"/>
        <w:ind w:start="2275" w:end="0"/>
        <w:rPr/>
      </w:pPr>
      <w:r>
        <w:rPr/>
        <w:t>(Primary meter kWs) x (1.341 Hp/kW) x ($.0315/HP-hr) = Variable Charge</w:t>
      </w:r>
    </w:p>
    <w:p>
      <w:pPr>
        <w:pStyle w:val="BodyText3"/>
        <w:spacing w:before="0" w:after="80"/>
        <w:rPr/>
      </w:pPr>
      <w:r>
        <w:rPr/>
      </w:r>
    </w:p>
    <w:p>
      <w:pPr>
        <w:pStyle w:val="Normal"/>
        <w:jc w:val="both"/>
        <w:rPr>
          <w:sz w:val="22"/>
        </w:rPr>
      </w:pPr>
      <w:r>
        <w:rPr>
          <w:sz w:val="22"/>
        </w:rPr>
      </w:r>
    </w:p>
    <w:p>
      <w:pPr>
        <w:pStyle w:val="BodyText3"/>
        <w:rPr/>
      </w:pPr>
      <w:r>
        <w:rPr>
          <w:color w:val="FF0000"/>
        </w:rPr>
        <w:tab/>
        <w:t xml:space="preserve">11.  </w:t>
      </w:r>
      <w:r>
        <w:rPr>
          <w:b/>
          <w:bCs/>
          <w:color w:val="FF0000"/>
        </w:rPr>
        <w:t>Power Cost Changes.</w:t>
      </w:r>
      <w:r>
        <w:rPr>
          <w:color w:val="FF0000"/>
        </w:rPr>
        <w:t xml:space="preserve">  </w:t>
      </w:r>
      <w:r>
        <w:rPr>
          <w:color w:val="FF0000"/>
          <w:highlight w:val="yellow"/>
        </w:rPr>
        <w:t>Still working on this section.</w:t>
      </w:r>
    </w:p>
    <w:p>
      <w:pPr>
        <w:pStyle w:val="Normal"/>
        <w:widowControl/>
        <w:spacing w:before="120" w:after="0"/>
        <w:ind w:start="-90" w:end="0"/>
        <w:jc w:val="both"/>
        <w:rPr>
          <w:sz w:val="22"/>
        </w:rPr>
      </w:pPr>
      <w:r>
        <w:rPr>
          <w:sz w:val="22"/>
        </w:rPr>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5"/>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December 31, 2001 (the "Term").  The provisions of Section 3, Confidentiality, shall survive any termination of this Agreement, as necessary for them to expire according to their terms as expressed in that section.</w:t>
      </w:r>
    </w:p>
    <w:p>
      <w:pPr>
        <w:pStyle w:val="Normal"/>
        <w:widowControl/>
        <w:numPr>
          <w:ilvl w:val="0"/>
          <w:numId w:val="5"/>
        </w:numPr>
        <w:tabs>
          <w:tab w:val="clear" w:pos="720"/>
        </w:tabs>
        <w:spacing w:before="120" w:after="0"/>
        <w:ind w:firstLine="720" w:start="0" w:end="0"/>
        <w:jc w:val="both"/>
        <w:rPr>
          <w:sz w:val="22"/>
        </w:rPr>
      </w:pPr>
      <w:r>
        <w:rPr>
          <w:b/>
          <w:smallCaps/>
          <w:sz w:val="22"/>
        </w:rPr>
        <w:t>Exclusivity</w:t>
      </w:r>
      <w:r>
        <w:rPr>
          <w:sz w:val="22"/>
        </w:rPr>
        <w:t>.  In consideration of the efforts to be expended by ECS in undertaking its development of the Project, OGS hereby grants to ECS, for a period beginning on October 4, 2001 and ending on the earlier of (i) December 31, 2001, and (ii) the date of any earlier termination as set out above (the "Exclusivity Period") the exclusive right to pursue the Project with OGS.  During the Exclusivity Period, OGS shall not work with any other persons with regard to the Project or other similar transactions involving OGS’s Hinkle Compressor Station.</w:t>
      </w:r>
    </w:p>
    <w:p>
      <w:pPr>
        <w:pStyle w:val="Normal"/>
        <w:widowControl/>
        <w:numPr>
          <w:ilvl w:val="0"/>
          <w:numId w:val="5"/>
        </w:numPr>
        <w:tabs>
          <w:tab w:val="clear" w:pos="720"/>
        </w:tabs>
        <w:spacing w:before="120" w:after="0"/>
        <w:ind w:firstLine="720" w:start="0" w:end="0"/>
        <w:jc w:val="both"/>
        <w:rPr>
          <w:sz w:val="22"/>
        </w:rPr>
      </w:pPr>
      <w:r>
        <w:rPr>
          <w:b/>
          <w:smallCaps/>
          <w:sz w:val="22"/>
        </w:rPr>
        <w:t>Confidentiality</w:t>
      </w:r>
      <w:r>
        <w:rPr>
          <w:sz w:val="22"/>
        </w:rPr>
        <w:t xml:space="preserve">.  All information exchanged by the Parties pursuant to this Agreement shall be subject to the terms and conditions of that certain Confidentiality Letter Agreement between the Parties dated </w:t>
      </w:r>
      <w:r>
        <w:rPr>
          <w:sz w:val="22"/>
          <w:highlight w:val="yellow"/>
        </w:rPr>
        <w:t>_________,</w:t>
      </w:r>
      <w:r>
        <w:rPr>
          <w:sz w:val="22"/>
        </w:rPr>
        <w:t xml:space="preserve"> 2001.</w:t>
      </w:r>
    </w:p>
    <w:p>
      <w:pPr>
        <w:pStyle w:val="Normal"/>
        <w:widowControl/>
        <w:numPr>
          <w:ilvl w:val="0"/>
          <w:numId w:val="5"/>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5"/>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5"/>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5"/>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5"/>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5"/>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5"/>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5"/>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5"/>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OGS's sole, joint or concurrent negligence), but rather shall be liable only for direct actual damages arising from the breaching Party's willful breach or sole, joint or concurrent negligence.</w:t>
      </w:r>
    </w:p>
    <w:p>
      <w:pPr>
        <w:pStyle w:val="Normal"/>
        <w:widowControl/>
        <w:numPr>
          <w:ilvl w:val="0"/>
          <w:numId w:val="5"/>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OGS PIPELINE, LLC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/mnt/main-storage/datasets/enron-docs/doc/Oakhill_LOI__10_3_01__Lisa-22fd4ef1a7178d3749c8a5f82a0e8dd84b066bbd4e76e68d05c4e5c70de20dc7.doc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OGS Pipeline, LLC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October 4,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70"/>
        </w:tabs>
        <w:ind w:start="1770" w:hanging="1050"/>
      </w:pPr>
      <w:rPr/>
    </w:lvl>
  </w:abstractNum>
  <w:abstractNum w:abstractNumId="3">
    <w:lvl w:ilvl="0">
      <w:start w:val="1"/>
      <w:numFmt w:val="bullet"/>
      <w:lvlText w:val=""/>
      <w:lvlJc w:val="start"/>
      <w:pPr>
        <w:tabs>
          <w:tab w:val="num" w:pos="2280"/>
        </w:tabs>
        <w:ind w:start="2280" w:hanging="360"/>
      </w:pPr>
      <w:rPr>
        <w:rFonts w:ascii="Wingdings" w:hAnsi="Wingdings" w:cs="Wingdings" w:hint="default"/>
      </w:rPr>
    </w:lvl>
  </w:abstractNum>
  <w:abstractNum w:abstractNumId="4">
    <w:lvl w:ilvl="0">
      <w:start w:val="1"/>
      <w:numFmt w:val="decimal"/>
      <w:lvlText w:val="%1."/>
      <w:lvlJc w:val="start"/>
      <w:pPr>
        <w:tabs>
          <w:tab w:val="num" w:pos="360"/>
        </w:tabs>
        <w:ind w:start="1080" w:hanging="360"/>
      </w:pPr>
    </w:lvl>
  </w:abstractNum>
  <w:abstractNum w:abstractNumId="5">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2001-10-03T19:02:00Z</dcterms:created>
  <dc:creator>ECT</dc:creator>
  <dc:description/>
  <dc:language>en-CA</dc:language>
  <cp:lastModifiedBy>ldruzbik</cp:lastModifiedBy>
  <cp:lastPrinted>2001-10-03T15:58:00Z</cp:lastPrinted>
  <dcterms:modified xsi:type="dcterms:W3CDTF">2001-10-03T19:02:00Z</dcterms:modified>
  <cp:revision>2</cp:revision>
  <dc:subject/>
  <dc:title>[ECT Letterhead]</dc:title>
</cp:coreProperties>
</file>