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2001, is made and entered into by and between </w:t>
      </w:r>
      <w:r>
        <w:rPr>
          <w:rFonts w:cs="Times New Roman" w:ascii="Times New Roman" w:hAnsi="Times New Roman"/>
          <w:b/>
          <w:bCs/>
          <w:sz w:val="24"/>
        </w:rPr>
        <w:t>OGS Pipeline L.L.C.</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9,200 Btu/Hp-hr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Electrical Drive System, provided by ECS to be installed at the OGS Hinkle Compressor Station located off County Road 2132 in Rusk County, Texas.</w:t>
      </w:r>
      <w:r>
        <w:rPr>
          <w:rFonts w:cs="Times New Roman" w:ascii="Times New Roman" w:hAnsi="Times New Roman"/>
          <w:b/>
          <w:bCs/>
          <w:i/>
          <w:iCs/>
          <w:sz w:val="24"/>
        </w:rPr>
        <w:t xml:space="preserv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"Electrical Drive System" means, collectively, the two (2) electric motors, switchgear, wiring, breakers, across the line motor start system that converts electrical energy into delivered Shaft Energy at the drive shafts and the Point of Delivery of Hp-hrs by ECS at the OGS Hinkle Compressor Station.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7,000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the Start Date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Electrical Drive System, and any other cause, whether of the kind herein enumerated or otherwise, not within the control of the party claiming suspension and which by the exercise of due diligence such party is unable to prevent or overcome;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pPr>
      <w:r>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"Electrical Interconnection Facilities" means all equipment and facilities, including the electrical substation, necessary to deliver electrical energy from the Utility to the Electrical Drive System.</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Load Factor” means the mathematical ratio of the utilized Hp-hour over the contractually available Hp-hour expressed as a percentage.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b/>
          <w:bCs/>
          <w:i/>
          <w:i/>
          <w:iCs/>
          <w:sz w:val="24"/>
        </w:rPr>
      </w:pPr>
      <w:r>
        <w:rPr>
          <w:rFonts w:cs="Times New Roman" w:ascii="Times New Roman" w:hAnsi="Times New Roman"/>
          <w:sz w:val="24"/>
        </w:rPr>
        <w:t xml:space="preserve">"OGS Hinkle Compressor Station" means, collectively, (i) the pipeline and mechanical interconnects and other related equipment, including the building enclosure housing the Compressors (but excluding the Compressor skids accepting the electric motor, the Electrical Drive System and the Electrical Interconnection Facilities) and (ii) the physical site location of the property described in the preceding clause (i), which site is owned by Customer and is located on Customer's gathering infrastructure and pipeline facilities located off County Road 2132 in Rusk County, TX..  </w:t>
      </w:r>
    </w:p>
    <w:p>
      <w:pPr>
        <w:pStyle w:val="Normal"/>
        <w:tabs>
          <w:tab w:val="left" w:pos="720" w:leader="none"/>
        </w:tabs>
        <w:ind w:firstLine="720" w:end="0"/>
        <w:jc w:val="both"/>
        <w:rPr>
          <w:rFonts w:ascii="Times New Roman" w:hAnsi="Times New Roman" w:cs="Times New Roman"/>
          <w:b/>
          <w:bCs/>
          <w:i/>
          <w:i/>
          <w:iCs/>
          <w:sz w:val="24"/>
        </w:rPr>
      </w:pPr>
      <w:r>
        <w:rPr>
          <w:rFonts w:cs="Times New Roman" w:ascii="Times New Roman" w:hAnsi="Times New Roman"/>
          <w:b/>
          <w:bCs/>
          <w:i/>
          <w:iCs/>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Electrical Drive System and specifically the electric motor is physically connected to the shaft that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Electrical Drive System.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OGS Hinkle Compressor Station pursuant to this Agreement (other than Shaft Energy to be delivered during the Test Period and the Pre-Start Date Period as described in Section 3.1 hereof), which date shall be December 1, 2002.</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pPr>
      <w:r>
        <w:rPr/>
        <w:t>"Utility Power Agreement" shall mean the electric energy supply agreement to be executed between ECS and the Utility.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and the “Pre-Start Date” period) ECS agrees to sell and deliver to Customer the Contract Quantity of Shaft Energy, and Customer agrees to pay ECS for such Contract Quantity of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ECS shall provide to Customer up to the Contract Quantity of Shaft Energy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u w:val="single"/>
        </w:rPr>
        <w:t>Facility Test Period and Pre-Start Date Service</w:t>
      </w:r>
      <w:r>
        <w:rPr>
          <w:rFonts w:cs="Times New Roman" w:ascii="Times New Roman" w:hAnsi="Times New Roman"/>
          <w:sz w:val="24"/>
        </w:rPr>
        <w:t>.  The parties agree that within 61 days prior to the Start Date, ECS shall have the right to test the Electrical Drive System and associated facilities, located at the OGS Hinkle Electric Compressor Station, up to the Contract Quantity for a reasonable period of testing (the "Test Period") in order to verify operational readiness and integrity of the facilities.  A). Once ECS verifies operational readiness after the Test Period and prior to the Start Date, Customer may request ECS to provide Customer with up to the Contract Quantity of Shaft Energy (the “Pre-Start Date” period) provided however Customer shall pay ECS in the same manner as Test Period the actual expenses therefore as provided in Section 3.1.</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of the Utility Power Agreement</w:t>
      </w:r>
      <w:r>
        <w:rPr>
          <w:rFonts w:cs="Times New Roman" w:ascii="Times New Roman" w:hAnsi="Times New Roman"/>
          <w:b/>
          <w:sz w:val="24"/>
        </w:rPr>
        <w:t xml:space="preserve">.  </w:t>
      </w:r>
      <w:r>
        <w:rPr>
          <w:rFonts w:cs="Times New Roman" w:ascii="Times New Roman" w:hAnsi="Times New Roman"/>
          <w:sz w:val="24"/>
        </w:rPr>
        <w:t xml:space="preserve">In the event of Utility’s interruption of electric energy supply to ECS and upon request of Customer, ECS shall provide to Customer any documentation of such interruption received by ECS from the Utility upon Customers request.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 and Pre-Start Date Period</w:t>
      </w:r>
      <w:r>
        <w:rPr>
          <w:rFonts w:cs="Times New Roman" w:ascii="Times New Roman" w:hAnsi="Times New Roman"/>
          <w:sz w:val="24"/>
        </w:rPr>
        <w:t>. During the Test Period, ECS shall invoice Customer only for actual expenses incurred by ECS to provide up to the Contract Quantity of Shaft Energy during the Test Period as well as any applicable Pre-Start Date Period.  Payment for the Contract Quantity of Shaft Energy delivered during these periods shall be paid pursuant to an invoice for such expenses according to section 4.1(a).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As compensation for the delivery of up to the Contract Quantity of Shaft Energy to Customer, Customer agrees to pay ECS an Annual Charge in the amount equal to $1,204,000 beginning with the Start Date. The Annual Charge shall be payable in twelve equal monthly installments, in accordance with Section 4.1(b) hereunder. The Annual Charge includes current local, state and federal taxes.  Any additional taxes, as well as any tax increase will be the responsibility of, and be invoiced to Customer, according to section 4.1(a).</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5"/>
        </w:numPr>
        <w:tabs>
          <w:tab w:val="clear" w:pos="720"/>
          <w:tab w:val="left" w:pos="1440" w:leader="none"/>
        </w:tabs>
        <w:ind w:hanging="450" w:start="1440" w:end="0"/>
        <w:rPr/>
      </w:pPr>
      <w:r>
        <w:rPr/>
        <w:t>The HP-hour Charge for each month throughout the Term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left" w:pos="720" w:leader="none"/>
          <w:tab w:val="left" w:pos="1440" w:leader="none"/>
        </w:tabs>
        <w:rPr/>
      </w:pPr>
      <w:r>
        <w:rPr/>
        <w:t>(b)</w:t>
        <w:tab/>
        <w:t>The amount of Shaft Energy actually delivered to Customer each month shall be equal to the product of (A) the amount of kWh consumed by the Compressor Motor during such month, as measured by the Primary Meter times (B) 1.314 hp per kw.</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If ECS is assessed a charge by the Utility for power factor correction and/or required to install additional equipment relating to the Electrical Drive System to ensure a power factor of at least 95 percent</w:t>
      </w:r>
      <w:r>
        <w:rPr>
          <w:rFonts w:cs="Times New Roman" w:ascii="Times New Roman" w:hAnsi="Times New Roman"/>
          <w:b/>
          <w:sz w:val="24"/>
        </w:rPr>
        <w:t>,</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xml:space="preserve">)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 or the invoiced charges submitted for the Test Period and Pre-Start Date Period.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such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10 years from the Start Date.  The True Up process, however, will continue for a period of up to two months following the expiration of the Term.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(a)</w:t>
        <w:tab/>
        <w:t xml:space="preserve">the failure by either Customer or ECS to make, when due, any payment required pursuant to this Agreement </w:t>
      </w:r>
      <w:r>
        <w:rPr>
          <w:rFonts w:cs="Times New Roman" w:ascii="Times New Roman" w:hAnsi="Times New Roman"/>
          <w:sz w:val="24"/>
          <w:u w:val="single"/>
        </w:rPr>
        <w:t>(whether in commodity or cash)</w:t>
      </w:r>
      <w:r>
        <w:rPr>
          <w:rFonts w:cs="Times New Roman" w:ascii="Times New Roman" w:hAnsi="Times New Roman"/>
          <w:sz w:val="24"/>
        </w:rPr>
        <w:t xml:space="preserve"> if such failure is not remedied within ten (10) Business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(hereinafter defined) by the Non-Defaulting Party (hereinafter defined);</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11.5),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11.5 hereof; or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For purposes of this Article 7, the party causing an Event of Default shall be called the "Defaulting Party" and the other party shall be called the "Non-Defaulting Party."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ten (10) Business Days prior written notice to the Defaulting Party, establish a date on which this Agreement will terminate early (the "Early Termination Date").  Any obligations for damages owed by the Defaulting Party as a result of such early termination and the Non-Defaulting Party’s rights to exercise any other rights available to the Non-Defaulting Party hereunder at law or in equity shall survive such early termination.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ab/>
        <w:t>7.</w:t>
      </w:r>
      <w:r>
        <w:rPr>
          <w:rFonts w:cs="Times New Roman" w:ascii="Times New Roman" w:hAnsi="Times New Roman"/>
          <w:sz w:val="24"/>
          <w:u w:val="single"/>
        </w:rPr>
        <w:t>3 ECS’s Rights as a Non-Defaulting Party Upon Early Termination</w:t>
      </w:r>
      <w:r>
        <w:rPr>
          <w:rFonts w:cs="Times New Roman" w:ascii="Times New Roman" w:hAnsi="Times New Roman"/>
          <w:sz w:val="24"/>
        </w:rPr>
        <w:t>.  If customer is the Defaulting Party, Customer shall be liable to ECS for all damages at law and equity, which shall include without limitation the following:</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all expenses, costs, and losses and obligations arising our of or in connection with ECS’s rights and obligations under the Utility Power Agreements, including without limitation any costs incurred in connection with any early termination therefore or any sale or transfer thereof.</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the net book value of assets associated with the Utility Facility Agreement and/or the Electrical Interconnection Facilities owned by ECS.</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all other fixed amounts due and payable to ECS during the Term of this Agreement, which amounts shall be accelerated on the Early Termination Date (less those costs and expenses of ECS which would be avoided as a result of ECS’s not having to perform the Compression Services after the Early Termination Date).</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all costs and expenses incurred by ECS to unwind the forward sale of natural gas volumes to be delivered by Customer hereunder after the Early Termination Date.</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 xml:space="preserve">all costs and expenses related to the Early Termination of any operations and maintenance agreements related to this Agreement.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7.4</w:t>
        <w:tab/>
      </w:r>
      <w:r>
        <w:rPr>
          <w:rFonts w:cs="Times New Roman" w:ascii="Times New Roman" w:hAnsi="Times New Roman"/>
          <w:sz w:val="24"/>
          <w:u w:val="single"/>
        </w:rPr>
        <w:t>Indemnification of ECS as Non-Defaulting Party</w:t>
      </w:r>
      <w:r>
        <w:rPr>
          <w:rFonts w:cs="Times New Roman" w:ascii="Times New Roman" w:hAnsi="Times New Roman"/>
          <w:sz w:val="24"/>
        </w:rPr>
        <w:t>.  As a Defaulting Party, Customer shall indemnify and hold ECS harmless for all costs and expenses and claims incurred by ECS under the Utility Power Agreements.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ten (10) Business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3"/>
        <w:ind w:hanging="0" w:start="0"/>
        <w:rPr/>
      </w:pPr>
      <w:r>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EASEMENT RIGHTS</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r>
    </w:p>
    <w:p>
      <w:pPr>
        <w:pStyle w:val="BodyTextIndent2"/>
        <w:tabs>
          <w:tab w:val="clear" w:pos="1440"/>
          <w:tab w:val="left" w:pos="0" w:leader="none"/>
        </w:tabs>
        <w:ind w:firstLine="720" w:start="0" w:end="0"/>
        <w:rPr/>
      </w:pPr>
      <w:r>
        <w:rPr/>
        <w:t>Customer shall grant to ECS without warranty, express or implied, the non-exclusive rights of ingress and egress upon the OGS Hinkle Electric Compressor Station for the sole purpose of constructing the Interconnection Facilities and the Compressor Motor.  Customer also shall grant to ECS for the benefit of ECS’s operation and maintenance provider, without warranty, express or implied, the non-exclusive rights of ingress and egress upon the OGS Hinkle Electric Compressor Station for the sole purpose of maintaining, and operating the Electrical Interconnection Facilities and the Electrical Drive System, respectively.  ECS, and the maintenance provider shall have the right at all times to enter upon the OGS Hinkle Electric Compressor Station for the purpose of maintaining the Electrical Interconnection Facilities and the Electrical Drive System, including, without limitation, performing inspections, maintenance, repairs and replacements, and responding to any emergency conditions, all in accordance herewith.  All such grants shall be made in form acceptable to ECS.  Customer agrees to coordinate and respond to maintenance activities in order to provide for the manipulation of the Customers OGS Hinkle Compressor Station and associated pipeline system beyond the limits of the Electrical Drive system and the associated compressor skids, isolation and blow down valves.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cash or delivery of gas for or the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10</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10.1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11</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ind w:firstLine="720" w:start="1440" w:end="0"/>
        <w:rPr>
          <w:rFonts w:ascii="Times New Roman" w:hAnsi="Times New Roman" w:cs="Times New Roman"/>
          <w:sz w:val="24"/>
        </w:rPr>
      </w:pPr>
      <w:r>
        <w:rPr>
          <w:rFonts w:cs="Times New Roman" w:ascii="Times New Roman" w:hAnsi="Times New Roman"/>
          <w:b/>
          <w:sz w:val="24"/>
        </w:rPr>
        <w:t>Matters concerning Section 3.6</w:t>
      </w:r>
    </w:p>
    <w:p>
      <w:pPr>
        <w:pStyle w:val="Normal"/>
        <w:ind w:start="2160" w:end="0"/>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potential assignees, purchasers,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any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 xml:space="preserve">ENRON COMPRESSION </w:t>
      </w:r>
      <w:r>
        <w:rPr>
          <w:rFonts w:cs="Times New Roman" w:ascii="Times New Roman" w:hAnsi="Times New Roman"/>
          <w:sz w:val="24"/>
        </w:rPr>
        <w:tab/>
        <w:t xml:space="preserve">                 </w:t>
      </w:r>
      <w:r>
        <w:rPr>
          <w:rFonts w:cs="Times New Roman" w:ascii="Times New Roman" w:hAnsi="Times New Roman"/>
          <w:b/>
          <w:bCs/>
          <w:sz w:val="24"/>
        </w:rPr>
        <w:t>OGS Pipeline L.L.C</w:t>
      </w:r>
      <w:r>
        <w:rPr>
          <w:rFonts w:cs="Times New Roman" w:ascii="Times New Roman" w:hAnsi="Times New Roman"/>
          <w:sz w:val="24"/>
        </w:rPr>
        <w:t xml:space="preserve"> </w:t>
      </w:r>
    </w:p>
    <w:p>
      <w:pPr>
        <w:pStyle w:val="Heading5"/>
        <w:ind w:hanging="0" w:start="0"/>
        <w:rPr/>
      </w:pPr>
      <w:r>
        <w:rPr/>
        <w:t xml:space="preserve">        </w:t>
      </w:r>
      <w:r>
        <w:rPr/>
        <w:t>SERVICES COMPANY</w:t>
        <w:tab/>
        <w:tab/>
        <w:tab/>
        <w:tab/>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r>
    </w:p>
    <w:p>
      <w:pPr>
        <w:pStyle w:val="WW-BodyText2"/>
        <w:jc w:val="center"/>
        <w:rPr>
          <w:rFonts w:ascii="Times New Roman" w:hAnsi="Times New Roman" w:cs="Times New Roman"/>
          <w:b/>
          <w:sz w:val="24"/>
        </w:rPr>
      </w:pPr>
      <w:r>
        <w:rPr>
          <w:rFonts w:cs="Times New Roman" w:ascii="Times New Roman" w:hAnsi="Times New Roman"/>
          <w:b/>
          <w:sz w:val="24"/>
        </w:rPr>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numPr>
          <w:ilvl w:val="0"/>
          <w:numId w:val="4"/>
        </w:numPr>
        <w:rPr>
          <w:rFonts w:ascii="Times New Roman" w:hAnsi="Times New Roman" w:cs="Times New Roman"/>
        </w:rPr>
      </w:pP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 of delivery from the OGS Pipeline system:</w:t>
      </w:r>
    </w:p>
    <w:p>
      <w:pPr>
        <w:pStyle w:val="WW-BodyText2"/>
        <w:rPr>
          <w:rFonts w:ascii="Times New Roman" w:hAnsi="Times New Roman" w:cs="Times New Roman"/>
        </w:rPr>
      </w:pPr>
      <w:r>
        <w:rPr>
          <w:rFonts w:cs="Times New Roman" w:ascii="Times New Roman" w:hAnsi="Times New Roman"/>
        </w:rPr>
      </w:r>
    </w:p>
    <w:p>
      <w:pPr>
        <w:pStyle w:val="WW-BodyText2"/>
        <w:ind w:hanging="0" w:start="1830" w:end="0"/>
        <w:rPr>
          <w:rFonts w:ascii="Times New Roman" w:hAnsi="Times New Roman" w:cs="Times New Roman"/>
        </w:rPr>
      </w:pPr>
      <w:r>
        <w:rPr>
          <w:rFonts w:cs="Times New Roman" w:ascii="Times New Roman" w:hAnsi="Times New Roman"/>
        </w:rPr>
        <w:t xml:space="preserve">Primary Point/s - </w:t>
        <w:tab/>
        <w:tab/>
        <w:t xml:space="preserve">into TETCO  </w:t>
      </w:r>
    </w:p>
    <w:p>
      <w:pPr>
        <w:pStyle w:val="WW-BodyText2"/>
        <w:rPr>
          <w:rFonts w:ascii="Times New Roman" w:hAnsi="Times New Roman" w:cs="Times New Roman"/>
        </w:rPr>
      </w:pPr>
      <w:r>
        <w:rPr>
          <w:rFonts w:cs="Times New Roman" w:ascii="Times New Roman" w:hAnsi="Times New Roman"/>
        </w:rPr>
        <w:tab/>
        <w:tab/>
      </w:r>
    </w:p>
    <w:p>
      <w:pPr>
        <w:pStyle w:val="WW-BodyText2"/>
        <w:rPr>
          <w:rFonts w:ascii="Times New Roman" w:hAnsi="Times New Roman" w:cs="Times New Roman"/>
        </w:rPr>
      </w:pPr>
      <w:r>
        <w:rPr>
          <w:rFonts w:cs="Times New Roman" w:ascii="Times New Roman" w:hAnsi="Times New Roman"/>
        </w:rPr>
        <w:tab/>
        <w:t xml:space="preserve">       Secondary Point/s - </w:t>
        <w:tab/>
        <w:t>into Koch Gateway</w:t>
      </w:r>
    </w:p>
    <w:p>
      <w:pPr>
        <w:pStyle w:val="WW-BodyText2"/>
        <w:rPr>
          <w:rFonts w:ascii="Times New Roman" w:hAnsi="Times New Roman" w:cs="Times New Roman"/>
        </w:rPr>
      </w:pPr>
      <w:r>
        <w:rPr>
          <w:rFonts w:cs="Times New Roman" w:ascii="Times New Roman" w:hAnsi="Times New Roman"/>
        </w:rPr>
        <w:tab/>
        <w:tab/>
        <w:tab/>
        <w:tab/>
        <w:tab/>
        <w:t>Into Lone Star Gas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ab/>
      </w:r>
    </w:p>
    <w:p>
      <w:pPr>
        <w:pStyle w:val="WW-BodyText2"/>
        <w:rPr>
          <w:rFonts w:ascii="Times New Roman" w:hAnsi="Times New Roman" w:cs="Times New Roman"/>
        </w:rPr>
      </w:pPr>
      <w:r>
        <w:rPr>
          <w:rFonts w:cs="Times New Roman" w:ascii="Times New Roman" w:hAnsi="Times New Roman"/>
        </w:rPr>
        <w:tab/>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rPr>
          <w:rFonts w:ascii="Times New Roman" w:hAnsi="Times New Roman" w:cs="Times New Roman"/>
          <w:b/>
          <w:bCs/>
        </w:rPr>
      </w:pPr>
      <w:r>
        <w:rPr>
          <w:rFonts w:cs="Times New Roman" w:ascii="Times New Roman" w:hAnsi="Times New Roman"/>
          <w:b/>
          <w:bCs/>
        </w:rPr>
        <w:tab/>
        <w:tab/>
        <w:tab/>
        <w:tab/>
        <w:t xml:space="preserve">HP-hour Charge     </w:t>
        <w:tab/>
        <w:tab/>
        <w:tab/>
      </w:r>
    </w:p>
    <w:p>
      <w:pPr>
        <w:pStyle w:val="WW-BodyText2"/>
        <w:jc w:val="center"/>
        <w:rPr>
          <w:rFonts w:ascii="Times New Roman" w:hAnsi="Times New Roman" w:cs="Times New Roman"/>
          <w:b/>
          <w:bCs/>
        </w:rPr>
      </w:pPr>
      <w:r>
        <w:rPr>
          <w:rFonts w:cs="Times New Roman" w:ascii="Times New Roman" w:hAnsi="Times New Roman"/>
          <w:b/>
          <w:bCs/>
        </w:rPr>
      </w:r>
    </w:p>
    <w:p>
      <w:pPr>
        <w:pStyle w:val="WW-BodyText2"/>
        <w:ind w:hanging="0" w:start="2160" w:end="0"/>
        <w:rPr>
          <w:rFonts w:ascii="Times New Roman" w:hAnsi="Times New Roman" w:cs="Times New Roman"/>
          <w:b/>
          <w:bCs/>
          <w:u w:val="single"/>
        </w:rPr>
      </w:pPr>
      <w:r>
        <w:rPr>
          <w:rFonts w:cs="Times New Roman" w:ascii="Times New Roman" w:hAnsi="Times New Roman"/>
          <w:b/>
          <w:bCs/>
          <w:u w:val="single"/>
        </w:rPr>
        <w:t>Month</w:t>
        <w:tab/>
        <w:t>`</w:t>
        <w:tab/>
        <w:t>Load Factor</w:t>
        <w:tab/>
        <w:tab/>
        <w:t>Monthly Nomination</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January</w:t>
        <w:tab/>
        <w:t xml:space="preserve">    95% </w:t>
        <w:tab/>
        <w:tab/>
        <w:t>1,514 MMBtu/day</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February</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March</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April</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May</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June</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July</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August</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September</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October</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November</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December</w:t>
        <w:tab/>
        <w:t xml:space="preserve">    95% </w:t>
        <w:tab/>
        <w:tab/>
        <w:t>1,514 MMBtu/day</w:t>
        <w:tab/>
        <w:tab/>
        <w:tab/>
      </w:r>
    </w:p>
    <w:p>
      <w:pPr>
        <w:pStyle w:val="WW-BodyText2"/>
        <w:tabs>
          <w:tab w:val="clear" w:pos="720"/>
        </w:tabs>
        <w:ind w:hanging="0" w:start="2160" w:end="0"/>
        <w:jc w:val="start"/>
        <w:rPr>
          <w:rFonts w:ascii="Times New Roman" w:hAnsi="Times New Roman" w:cs="Times New Roman"/>
          <w:b/>
          <w:bCs/>
        </w:rPr>
      </w:pPr>
      <w:r>
        <w:rPr>
          <w:rFonts w:cs="Times New Roman" w:ascii="Times New Roman" w:hAnsi="Times New Roman"/>
          <w:b/>
          <w:bCs/>
        </w:rPr>
        <w:tab/>
        <w:tab/>
      </w:r>
    </w:p>
    <w:p>
      <w:pPr>
        <w:pStyle w:val="WW-BodyText2"/>
        <w:jc w:val="start"/>
        <w:rPr>
          <w:rFonts w:ascii="Times New Roman" w:hAnsi="Times New Roman" w:cs="Times New Roman"/>
          <w:b/>
          <w:bCs/>
        </w:rPr>
      </w:pPr>
      <w:r>
        <w:rPr>
          <w:rFonts w:cs="Times New Roman" w:ascii="Times New Roman" w:hAnsi="Times New Roman"/>
          <w:b/>
          <w:bCs/>
        </w:rPr>
        <w:tab/>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Oakhill_CSA6_13_01.doc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Oakhill_CSA6_13_01.doc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Oakhill_CSA6_13_01.doc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Oakhill_CSA6_13_01.doc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360"/>
      </w:pPr>
      <w:rPr/>
    </w:lvl>
  </w:abstractNum>
  <w:abstractNum w:abstractNumId="3">
    <w:lvl w:ilvl="0">
      <w:start w:val="2"/>
      <w:numFmt w:val="decimal"/>
      <w:lvlText w:val="%1."/>
      <w:lvlJc w:val="start"/>
      <w:pPr>
        <w:tabs>
          <w:tab w:val="num" w:pos="1440"/>
        </w:tabs>
        <w:ind w:start="1440" w:hanging="1440"/>
      </w:pPr>
      <w:rPr/>
    </w:lvl>
    <w:lvl w:ilvl="1">
      <w:start w:val="4"/>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1830"/>
        </w:tabs>
        <w:ind w:start="1830" w:hanging="1110"/>
      </w:pPr>
      <w:rPr>
        <w:b/>
      </w:rPr>
    </w:lvl>
  </w:abstractNum>
  <w:abstractNum w:abstractNumId="5">
    <w:lvl w:ilvl="0">
      <w:start w:val="1"/>
      <w:numFmt w:val="lowerLetter"/>
      <w:lvlText w:val="(%1)"/>
      <w:lvlJc w:val="start"/>
      <w:pPr>
        <w:tabs>
          <w:tab w:val="num" w:pos="1350"/>
        </w:tabs>
        <w:ind w:start="135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tabs>
        <w:tab w:val="left" w:pos="720" w:leader="none"/>
      </w:tabs>
      <w:jc w:val="center"/>
      <w:outlineLvl w:val="2"/>
    </w:pPr>
    <w:rPr>
      <w:rFonts w:ascii="Times New Roman" w:hAnsi="Times New Roman" w:cs="Times New Roman"/>
      <w:b/>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2001-06-14T16:10:00Z</dcterms:created>
  <dc:creator>ET&amp;S LAN Support</dc:creator>
  <dc:description/>
  <dc:language>en-CA</dc:language>
  <cp:lastModifiedBy>mknippa</cp:lastModifiedBy>
  <cp:lastPrinted>2001-06-13T16:10:00Z</cp:lastPrinted>
  <dcterms:modified xsi:type="dcterms:W3CDTF">2001-06-14T16:10:00Z</dcterms:modified>
  <cp:revision>2</cp:revision>
  <dc:subject/>
  <dc:title>COMPRESSION SERVICES AGREEMENT</dc:title>
</cp:coreProperties>
</file>