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COMPRESSION SERVICES AGREEMENT</w:t>
      </w:r>
    </w:p>
    <w:p>
      <w:pPr>
        <w:pStyle w:val="Normal"/>
        <w:jc w:val="center"/>
        <w:rPr>
          <w:rFonts w:ascii="Times New Roman" w:hAnsi="Times New Roman" w:cs="Times New Roman"/>
          <w:sz w:val="24"/>
        </w:rPr>
      </w:pPr>
      <w:r>
        <w:rPr>
          <w:rFonts w:cs="Times New Roman" w:ascii="Times New Roman" w:hAnsi="Times New Roman"/>
          <w:sz w:val="24"/>
        </w:rPr>
        <w:t>(Compressor Station)</w:t>
      </w:r>
    </w:p>
    <w:p>
      <w:pPr>
        <w:pStyle w:val="Normal"/>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THIS COMPRESSION SERVICES AGREEMENT, effective ______________, 2001, is made and entered into by and between </w:t>
      </w:r>
      <w:r>
        <w:rPr>
          <w:rFonts w:cs="Times New Roman" w:ascii="Times New Roman" w:hAnsi="Times New Roman"/>
          <w:b/>
          <w:bCs/>
          <w:sz w:val="24"/>
        </w:rPr>
        <w:t>OGS Pipeline L.L.C.</w:t>
      </w:r>
      <w:r>
        <w:rPr>
          <w:rFonts w:cs="Times New Roman" w:ascii="Times New Roman" w:hAnsi="Times New Roman"/>
          <w:sz w:val="24"/>
        </w:rPr>
        <w:t xml:space="preserve">, a ______________ corporation ("Customer"), and </w:t>
      </w:r>
      <w:r>
        <w:rPr>
          <w:rFonts w:cs="Times New Roman" w:ascii="Times New Roman" w:hAnsi="Times New Roman"/>
          <w:b/>
          <w:sz w:val="24"/>
        </w:rPr>
        <w:t xml:space="preserve">Enron Compression Services Company, </w:t>
      </w:r>
      <w:r>
        <w:rPr>
          <w:rFonts w:cs="Times New Roman" w:ascii="Times New Roman" w:hAnsi="Times New Roman"/>
          <w:sz w:val="24"/>
        </w:rPr>
        <w:t>a Delaware corporation ("ECS").</w:t>
      </w:r>
    </w:p>
    <w:p>
      <w:pPr>
        <w:pStyle w:val="Normal"/>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t>RECITALS:</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ECS provides compression services to pipeline customers by providing horsepower capacity and related horsepower hours to be used to operate compressors on natural gas pipelines (the "Compression Services");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Customer owns and operates a pipeline system ("Pipeline") requiring certain Compression Services and Customer desires to engage ECS to provide such Compression Services; and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ECS desires to provide such Compression Services to Customer and Customer desires to receive such Compression Services in accordance with the terms and conditions set forth in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NOW THEREFORE, in consideration of the premises and mutual covenants and agreements herein contained, the parties agree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1"/>
        <w:ind w:hanging="0" w:start="0"/>
        <w:rPr>
          <w:b/>
        </w:rPr>
      </w:pPr>
      <w:r>
        <w:rPr>
          <w:b/>
        </w:rPr>
        <w:t>ARTICLE 1</w:t>
      </w:r>
    </w:p>
    <w:p>
      <w:pPr>
        <w:pStyle w:val="Heading1"/>
        <w:ind w:hanging="0" w:start="0"/>
        <w:rPr>
          <w:b/>
        </w:rPr>
      </w:pPr>
      <w:r>
        <w:rPr>
          <w:b/>
        </w:rPr>
        <w:t>GENERAL TERMS</w:t>
      </w:r>
    </w:p>
    <w:p>
      <w:pPr>
        <w:pStyle w:val="Normal"/>
        <w:tabs>
          <w:tab w:val="clear" w:pos="720"/>
          <w:tab w:val="left" w:pos="360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1.</w:t>
        <w:tab/>
      </w:r>
      <w:r>
        <w:rPr>
          <w:rFonts w:cs="Times New Roman" w:ascii="Times New Roman" w:hAnsi="Times New Roman"/>
          <w:sz w:val="24"/>
          <w:u w:val="single"/>
        </w:rPr>
        <w:t>Definitions</w:t>
      </w:r>
      <w:r>
        <w:rPr>
          <w:rFonts w:cs="Times New Roman" w:ascii="Times New Roman" w:hAnsi="Times New Roman"/>
          <w:sz w:val="24"/>
        </w:rPr>
        <w:t>.  The terms "Compression Services," "Customer," "ECS," and "Pipeline" shall have the above meanings and the following terms shall have the following meanings:</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BodyText"/>
        <w:tabs>
          <w:tab w:val="left" w:pos="720" w:leader="none"/>
        </w:tabs>
        <w:rPr/>
      </w:pPr>
      <w:r>
        <w:rPr/>
        <w:tab/>
        <w:t xml:space="preserve">"Actual HP-hour Charge" shall mean, for the applicable month, the product of </w:t>
      </w:r>
      <w:r>
        <w:rPr>
          <w:color w:val="0000FF"/>
        </w:rPr>
        <w:t>9,200 Btu/Hp-hr</w:t>
      </w:r>
      <w:r>
        <w:rPr/>
        <w:t xml:space="preserve"> multiplied by the aggregate amount of Shaft Energy delivered to Customer during such month.</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"Agreement" means this Compression Services Agreement, as the same may be amended or supplemented from time to time.</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"Annual Charge" means the payments to be made by Customer to ECS pursuant to Section 3.2 of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tab/>
        <w:t>"Business Day" means a day other than a Saturday, Sunday or holiday for ECS or Customer.</w:t>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 xml:space="preserve">"Compressor" means the Shaft Energy-driven natural gas compression equipment, excepting the Electrical Drive System, </w:t>
      </w:r>
      <w:r>
        <w:rPr>
          <w:rFonts w:cs="Times New Roman" w:ascii="Times New Roman" w:hAnsi="Times New Roman"/>
          <w:color w:val="0000FF"/>
          <w:sz w:val="24"/>
        </w:rPr>
        <w:t>provided by ECS</w:t>
      </w:r>
      <w:r>
        <w:rPr>
          <w:rFonts w:cs="Times New Roman" w:ascii="Times New Roman" w:hAnsi="Times New Roman"/>
          <w:sz w:val="24"/>
        </w:rPr>
        <w:t xml:space="preserve"> to be installed at the OGS Hinkle Compressor Station </w:t>
      </w:r>
      <w:r>
        <w:rPr>
          <w:rFonts w:cs="Times New Roman" w:ascii="Times New Roman" w:hAnsi="Times New Roman"/>
          <w:color w:val="0000FF"/>
          <w:sz w:val="24"/>
        </w:rPr>
        <w:t>located off County Road 2132 in Rusk County, Texas.</w:t>
      </w:r>
      <w:r>
        <w:rPr>
          <w:rFonts w:cs="Times New Roman" w:ascii="Times New Roman" w:hAnsi="Times New Roman"/>
          <w:b/>
          <w:bCs/>
          <w:i/>
          <w:iCs/>
          <w:sz w:val="24"/>
        </w:rPr>
        <w:t xml:space="preserve"> </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color w:val="0000FF"/>
          <w:sz w:val="24"/>
        </w:rPr>
        <w:t>Electrical Drive System</w:t>
      </w:r>
      <w:r>
        <w:rPr>
          <w:rFonts w:cs="Times New Roman" w:ascii="Times New Roman" w:hAnsi="Times New Roman"/>
          <w:sz w:val="24"/>
        </w:rPr>
        <w:t xml:space="preserve">" means, collectively, the two (2) electric motors, </w:t>
      </w:r>
      <w:r>
        <w:rPr>
          <w:rFonts w:cs="Times New Roman" w:ascii="Times New Roman" w:hAnsi="Times New Roman"/>
          <w:color w:val="0000FF"/>
          <w:sz w:val="24"/>
        </w:rPr>
        <w:t>switchgear, wiring, breakers, across the line motor start system</w:t>
      </w:r>
      <w:r>
        <w:rPr>
          <w:rFonts w:cs="Times New Roman" w:ascii="Times New Roman" w:hAnsi="Times New Roman"/>
          <w:sz w:val="24"/>
        </w:rPr>
        <w:t xml:space="preserve"> </w:t>
      </w:r>
      <w:r>
        <w:rPr>
          <w:rFonts w:cs="Times New Roman" w:ascii="Times New Roman" w:hAnsi="Times New Roman"/>
          <w:color w:val="0000FF"/>
          <w:sz w:val="24"/>
        </w:rPr>
        <w:t xml:space="preserve">that converts electrical energy into delivered Shaft Energy at the drive shafts and the Point of Delivery of Hp-hrs by ECS at the OGS Hinkle Compressor Station. </w:t>
      </w:r>
    </w:p>
    <w:p>
      <w:pPr>
        <w:pStyle w:val="Normal"/>
        <w:ind w:firstLine="720" w:end="0"/>
        <w:jc w:val="both"/>
        <w:rPr>
          <w:rFonts w:ascii="Times New Roman" w:hAnsi="Times New Roman" w:cs="Times New Roman"/>
          <w:color w:val="0000FF"/>
          <w:sz w:val="24"/>
        </w:rPr>
      </w:pPr>
      <w:r>
        <w:rPr>
          <w:rFonts w:cs="Times New Roman" w:ascii="Times New Roman" w:hAnsi="Times New Roman"/>
          <w:color w:val="0000FF"/>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"Contract Quantity" means up to 7,000 HP per hour of Shaft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"Contract Year" means each twelve-month period commencing on the Start Date defined as October 1, 2002, and on each anniversary of such commencement date.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"Early Termination Date" has the meaning set forth in Section 7.2 hereof.</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"Force Majeure" means acts of God, strikes, lockouts, or other industrial disturbances, acts of public enemy, wars, blockades, insurrections, riots, epidemics, landslides, lightning, earthquakes, fires, storms, storm warnings, floods, washouts, actions of governmental authorities which render this Agreement unenforceable, arrests and restraints of governments and people, present and future valid orders, decisions or rulings of any governmental authority having jurisdiction, civil disturbances, explosions, breakage or accident to machinery or lines of pipe or electric transmission lines, freezing of electric transmission lines or lines of pipe, any Force Majeure claim by any electricity supplier to ECS for the operation of the </w:t>
      </w:r>
      <w:r>
        <w:rPr>
          <w:rFonts w:cs="Times New Roman" w:ascii="Times New Roman" w:hAnsi="Times New Roman"/>
          <w:color w:val="0000FF"/>
          <w:sz w:val="24"/>
        </w:rPr>
        <w:t>Electrical Drive System</w:t>
      </w:r>
      <w:r>
        <w:rPr>
          <w:rFonts w:cs="Times New Roman" w:ascii="Times New Roman" w:hAnsi="Times New Roman"/>
          <w:sz w:val="24"/>
        </w:rPr>
        <w:t>, and any other cause, whether of the kind herein enumerated or otherwise, not within the control of the party claiming suspension and which by the exercise of due diligence such party is unable to prevent or overcome; such term shall likewise include those instances where any party is required to obtain servitudes, rights-of-ways, grants, permits or licenses to enable such party to fulfill its obligations, the inability of such party to acquire, or the delays on the part of such party in acquiring, at reasonable cost and after the exercise of reasonable diligence, such servitudes, rights-of-ways, grants, permits or permissions from any governmental agency to enable such party to fulfill its obligations, the inability of such party to acquire, or delays on the part of such party in acquiring, at reasonable cost and after the exercise of reasonable diligence, such materials and supplies, permits and permissions.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"Fuel Gas" means the natural gas to be delivered by Customer to ECS pursuant to Section 3.3 of this Agreement.</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2"/>
        <w:rPr/>
      </w:pPr>
      <w:r>
        <w:rPr/>
        <w:t>"HP" means horsepower, a unit of energy.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BodyTextIndent3"/>
        <w:tabs>
          <w:tab w:val="clear" w:pos="720"/>
        </w:tabs>
        <w:rPr/>
      </w:pPr>
      <w:r>
        <w:rPr/>
        <w:t>"HP-hour" means horsepower-hour, a unit of energy equal to that expended by one HP in one hour.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"HP-hour Charge" shall have such meaning as set forth in Section 3.3.</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"Interconnection Facilities" means all equipment and facilities, including the electrical substation, necessary to deliver electrical energy from the Utility to the Compressor Motor.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"kW" means kilowatt, a unit of power.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"kWh" means kilowatt-hour, a unit of power equal to that expended by one kW in one hour.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b/>
          <w:bCs/>
          <w:i/>
          <w:i/>
          <w:iCs/>
          <w:sz w:val="24"/>
        </w:rPr>
      </w:pPr>
      <w:r>
        <w:rPr>
          <w:rFonts w:cs="Times New Roman" w:ascii="Times New Roman" w:hAnsi="Times New Roman"/>
          <w:sz w:val="24"/>
        </w:rPr>
        <w:t xml:space="preserve">"OGS Hinkle Compressor Station" means, collectively, (i) the pipeline and mechanical interconnects and other related equipment, including the building enclosure housing the Compressors </w:t>
      </w:r>
      <w:r>
        <w:rPr>
          <w:rFonts w:cs="Times New Roman" w:ascii="Times New Roman" w:hAnsi="Times New Roman"/>
          <w:color w:val="0000FF"/>
          <w:sz w:val="24"/>
        </w:rPr>
        <w:t>(but excluding the Compressor skids accepting the Electrical Drive System, the Electrical Drive System and the Electrical Interconnection Facilities)</w:t>
      </w:r>
      <w:r>
        <w:rPr>
          <w:rFonts w:cs="Times New Roman" w:ascii="Times New Roman" w:hAnsi="Times New Roman"/>
          <w:sz w:val="24"/>
        </w:rPr>
        <w:t xml:space="preserve"> and (ii) the physical site location of the property described in the preceding clause (i), which site is owned by Customer and is located on Customer's </w:t>
      </w:r>
      <w:r>
        <w:rPr>
          <w:rFonts w:cs="Times New Roman" w:ascii="Times New Roman" w:hAnsi="Times New Roman"/>
          <w:color w:val="0000FF"/>
          <w:sz w:val="24"/>
        </w:rPr>
        <w:t xml:space="preserve">gathering infrastructure and </w:t>
      </w:r>
      <w:r>
        <w:rPr>
          <w:rFonts w:cs="Times New Roman" w:ascii="Times New Roman" w:hAnsi="Times New Roman"/>
          <w:sz w:val="24"/>
        </w:rPr>
        <w:t xml:space="preserve">pipeline facilities </w:t>
      </w:r>
      <w:r>
        <w:rPr>
          <w:rFonts w:cs="Times New Roman" w:ascii="Times New Roman" w:hAnsi="Times New Roman"/>
          <w:color w:val="0000FF"/>
          <w:sz w:val="24"/>
        </w:rPr>
        <w:t>located off County Road 2132 in Rusk County, TX.</w:t>
      </w:r>
      <w:r>
        <w:rPr>
          <w:rFonts w:cs="Times New Roman" w:ascii="Times New Roman" w:hAnsi="Times New Roman"/>
          <w:sz w:val="24"/>
        </w:rPr>
        <w:t xml:space="preserve">.  </w:t>
      </w:r>
    </w:p>
    <w:p>
      <w:pPr>
        <w:pStyle w:val="Normal"/>
        <w:tabs>
          <w:tab w:val="left" w:pos="720" w:leader="none"/>
        </w:tabs>
        <w:ind w:firstLine="720" w:end="0"/>
        <w:jc w:val="both"/>
        <w:rPr>
          <w:rFonts w:ascii="Times New Roman" w:hAnsi="Times New Roman" w:cs="Times New Roman"/>
          <w:b/>
          <w:bCs/>
          <w:i/>
          <w:i/>
          <w:iCs/>
          <w:sz w:val="24"/>
        </w:rPr>
      </w:pPr>
      <w:r>
        <w:rPr>
          <w:rFonts w:cs="Times New Roman" w:ascii="Times New Roman" w:hAnsi="Times New Roman"/>
          <w:b/>
          <w:bCs/>
          <w:i/>
          <w:iCs/>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"Past Due Rate" shall have the meaning as set forth in Section 4.1.</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"Point of Delivery" means the point where the shaft of the Compressor Motor is physically connected to the shaft that drives the gas compressor.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"Primary Meter" means the metering device used to measure the kWhs supplied to the Compressor Motor.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 xml:space="preserve">"Shaft Energy" means an amount of energy, measured in HP-hours, actually produced </w:t>
      </w:r>
      <w:r>
        <w:rPr>
          <w:rFonts w:cs="Times New Roman" w:ascii="Times New Roman" w:hAnsi="Times New Roman"/>
          <w:color w:val="0000FF"/>
          <w:sz w:val="24"/>
        </w:rPr>
        <w:t>and delivered</w:t>
      </w:r>
      <w:r>
        <w:rPr>
          <w:rFonts w:cs="Times New Roman" w:ascii="Times New Roman" w:hAnsi="Times New Roman"/>
          <w:sz w:val="24"/>
        </w:rPr>
        <w:t xml:space="preserve"> by the Compressor Motor.</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 xml:space="preserve">"Start Date" means the date on which ECS is first required to deliver Shaft Energy to the OGS Hinkle Compressor Station pursuant to this Agreement (other than Shaft Energy to be delivered during the Test Period as described in Section 3.1 hereof), which date shall be </w:t>
      </w:r>
      <w:r>
        <w:rPr>
          <w:rFonts w:cs="Times New Roman" w:ascii="Times New Roman" w:hAnsi="Times New Roman"/>
          <w:color w:val="0000FF"/>
          <w:sz w:val="24"/>
        </w:rPr>
        <w:t xml:space="preserve">October 1, 2003.  </w:t>
      </w:r>
      <w:r>
        <w:rPr>
          <w:rFonts w:cs="Times New Roman" w:ascii="Times New Roman" w:hAnsi="Times New Roman"/>
          <w:strike/>
          <w:sz w:val="24"/>
        </w:rPr>
        <w:t>(ii) the date that is one day after the in-service date of the Compressor Motor and the Interconnection Facilities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"Term" has the meaning set forth in Section 6.1.</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"Termination Payment" has the meaning set forth in Section 7.3.</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"Utility" shall mean an entity technically and legally capable of providing electric energy in the quantities necessary to perform the Compression Services hereunder under the existing electrical industry standards and regulatory structure.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BodyTextIndent3"/>
        <w:tabs>
          <w:tab w:val="clear" w:pos="720"/>
        </w:tabs>
        <w:rPr>
          <w:color w:val="0000FF"/>
        </w:rPr>
      </w:pPr>
      <w:r>
        <w:rPr/>
        <w:t>"Utility Power Agreement" shall mean the electric energy supply agreement to be executed between ECS and the Utility.</w:t>
      </w:r>
    </w:p>
    <w:p>
      <w:pPr>
        <w:pStyle w:val="Normal"/>
        <w:tabs>
          <w:tab w:val="left" w:pos="720" w:leader="none"/>
        </w:tabs>
        <w:ind w:firstLine="720" w:end="0"/>
        <w:jc w:val="both"/>
        <w:rPr>
          <w:rFonts w:ascii="Times New Roman" w:hAnsi="Times New Roman" w:cs="Times New Roman"/>
          <w:color w:val="0000FF"/>
          <w:sz w:val="24"/>
        </w:rPr>
      </w:pPr>
      <w:r>
        <w:rPr>
          <w:rFonts w:cs="Times New Roman" w:ascii="Times New Roman" w:hAnsi="Times New Roman"/>
          <w:color w:val="0000FF"/>
          <w:sz w:val="24"/>
        </w:rPr>
      </w:r>
    </w:p>
    <w:p>
      <w:pPr>
        <w:pStyle w:val="Normal"/>
        <w:tabs>
          <w:tab w:val="left" w:pos="720" w:leader="none"/>
        </w:tabs>
        <w:ind w:firstLine="720" w:end="0"/>
        <w:jc w:val="both"/>
        <w:rPr/>
      </w:pPr>
      <w:r>
        <w:rPr>
          <w:rFonts w:cs="Times New Roman" w:ascii="Times New Roman" w:hAnsi="Times New Roman"/>
          <w:sz w:val="24"/>
        </w:rPr>
        <w:t>1.2.</w:t>
        <w:tab/>
      </w:r>
      <w:r>
        <w:rPr>
          <w:rFonts w:cs="Times New Roman" w:ascii="Times New Roman" w:hAnsi="Times New Roman"/>
          <w:sz w:val="24"/>
          <w:u w:val="single"/>
        </w:rPr>
        <w:t>Singular and Plural</w:t>
      </w:r>
      <w:r>
        <w:rPr>
          <w:rFonts w:cs="Times New Roman" w:ascii="Times New Roman" w:hAnsi="Times New Roman"/>
          <w:sz w:val="24"/>
        </w:rPr>
        <w:t>.  Words used herein in the singular, where the context so permits, also include the plural and vice versa.  The definitions of words in the singular herein, where the context so permits, also apply to such words when used in the plural or vice versa.</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2</w:t>
      </w:r>
    </w:p>
    <w:p>
      <w:pPr>
        <w:pStyle w:val="Heading1"/>
        <w:ind w:hanging="0" w:start="0"/>
        <w:rPr>
          <w:b/>
        </w:rPr>
      </w:pPr>
      <w:r>
        <w:rPr>
          <w:b/>
        </w:rPr>
        <w:t>SERVICES</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2.1.</w:t>
        <w:tab/>
      </w:r>
      <w:r>
        <w:rPr>
          <w:rFonts w:cs="Times New Roman" w:ascii="Times New Roman" w:hAnsi="Times New Roman"/>
          <w:sz w:val="24"/>
          <w:u w:val="single"/>
        </w:rPr>
        <w:t>Sale and Purchase of Contract Quantity and Shaft Energy</w:t>
      </w:r>
      <w:r>
        <w:rPr>
          <w:rFonts w:cs="Times New Roman" w:ascii="Times New Roman" w:hAnsi="Times New Roman"/>
          <w:sz w:val="24"/>
        </w:rPr>
        <w:t>.  Pursuant to the terms and conditions of this Agreement, from and after the Start Date (and prior to such date as provided in Section 2.4 with respect to the Test Period) ECS agrees to sell and deliver to Customer the Contract Quantity and Shaft Energy, and Customer agrees to pay ECS for such Contract Quantity and Shaft Energy as provided in Article 3.</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2.2.</w:t>
        <w:tab/>
      </w:r>
      <w:r>
        <w:rPr>
          <w:rFonts w:cs="Times New Roman" w:ascii="Times New Roman" w:hAnsi="Times New Roman"/>
          <w:sz w:val="24"/>
          <w:u w:val="single"/>
        </w:rPr>
        <w:t>Provision of Contract Quantity</w:t>
      </w:r>
      <w:r>
        <w:rPr>
          <w:rFonts w:cs="Times New Roman" w:ascii="Times New Roman" w:hAnsi="Times New Roman"/>
          <w:sz w:val="24"/>
        </w:rPr>
        <w:t>.  ECS shall provide to Customer the Contract Quantity of Shaft Energy at the Point of Delivery.</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2.3.</w:t>
        <w:tab/>
      </w:r>
      <w:r>
        <w:rPr>
          <w:rFonts w:cs="Times New Roman" w:ascii="Times New Roman" w:hAnsi="Times New Roman"/>
          <w:sz w:val="24"/>
          <w:u w:val="single"/>
        </w:rPr>
        <w:t>Provision of Shaft Energy</w:t>
      </w:r>
      <w:r>
        <w:rPr>
          <w:rFonts w:cs="Times New Roman" w:ascii="Times New Roman" w:hAnsi="Times New Roman"/>
          <w:sz w:val="24"/>
        </w:rPr>
        <w:t>.  Subject to interruptions in delivery as provided for in Section 2.5 below, ECS shall deliver to Customer the Contract Quantity of Shaft Energy demanded by Customer for the operation of the Compressor.  ECS shall deliver the Shaft Energy to Customer at the Point of Delivery.  The ownership and risk of loss with respect to such Shaft Energy shall pass from ECS to Customer at the Point of Delivery.</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2.4.</w:t>
        <w:tab/>
      </w:r>
      <w:r>
        <w:rPr>
          <w:rFonts w:cs="Times New Roman" w:ascii="Times New Roman" w:hAnsi="Times New Roman"/>
          <w:sz w:val="24"/>
          <w:u w:val="single"/>
        </w:rPr>
        <w:t>Facility Test Period</w:t>
      </w:r>
      <w:r>
        <w:rPr>
          <w:rFonts w:cs="Times New Roman" w:ascii="Times New Roman" w:hAnsi="Times New Roman"/>
          <w:sz w:val="24"/>
        </w:rPr>
        <w:t xml:space="preserve">.  The parties hereto agree that prior to the Start Date, the </w:t>
      </w:r>
      <w:r>
        <w:rPr>
          <w:rFonts w:cs="Times New Roman" w:ascii="Times New Roman" w:hAnsi="Times New Roman"/>
          <w:color w:val="0000FF"/>
          <w:sz w:val="24"/>
        </w:rPr>
        <w:t>Electrical Drive System</w:t>
      </w:r>
      <w:r>
        <w:rPr>
          <w:rFonts w:cs="Times New Roman" w:ascii="Times New Roman" w:hAnsi="Times New Roman"/>
          <w:sz w:val="24"/>
        </w:rPr>
        <w:t xml:space="preserve"> </w:t>
      </w:r>
      <w:r>
        <w:rPr>
          <w:rFonts w:cs="Times New Roman" w:ascii="Times New Roman" w:hAnsi="Times New Roman"/>
          <w:color w:val="0000FF"/>
          <w:sz w:val="24"/>
        </w:rPr>
        <w:t>located at the</w:t>
      </w:r>
      <w:r>
        <w:rPr>
          <w:rFonts w:cs="Times New Roman" w:ascii="Times New Roman" w:hAnsi="Times New Roman"/>
          <w:sz w:val="24"/>
        </w:rPr>
        <w:t xml:space="preserve"> OGS Hinkle Electric Compressor Station must undergo a reasonable period of testing (the "Test Period") in order to verify operational readiness and integrity of the facilities.  At Customer's request, ECS agrees to provide the Contract Quantity to Customer during the Test Period; provided, however, that the Test Period may not begin prior to the in-service date of the Interconnection Facilities, without the prior written consent of ECS, which consent shall not be unreasonably withheld.</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576" w:end="0"/>
        <w:jc w:val="both"/>
        <w:rPr/>
      </w:pPr>
      <w:r>
        <w:rPr>
          <w:rFonts w:cs="Times New Roman" w:ascii="Times New Roman" w:hAnsi="Times New Roman"/>
          <w:sz w:val="24"/>
        </w:rPr>
        <w:t>2.5.</w:t>
        <w:tab/>
      </w:r>
      <w:r>
        <w:rPr>
          <w:rFonts w:cs="Times New Roman" w:ascii="Times New Roman" w:hAnsi="Times New Roman"/>
          <w:sz w:val="24"/>
          <w:u w:val="single"/>
        </w:rPr>
        <w:t>Shaft Energy Interruptions</w:t>
      </w:r>
      <w:r>
        <w:rPr>
          <w:rFonts w:cs="Times New Roman" w:ascii="Times New Roman" w:hAnsi="Times New Roman"/>
          <w:sz w:val="24"/>
        </w:rPr>
        <w:t>. ECS may interrupt the delivery of Shaft Energy to Customer at any time delivery of electric energy to ECS is interrupted by the Utility in accordance with the terms of the Utility Power Agreement</w:t>
      </w:r>
      <w:r>
        <w:rPr>
          <w:rFonts w:cs="Times New Roman" w:ascii="Times New Roman" w:hAnsi="Times New Roman"/>
          <w:b/>
          <w:sz w:val="24"/>
        </w:rPr>
        <w:t xml:space="preserve">.  </w:t>
      </w:r>
      <w:r>
        <w:rPr>
          <w:rFonts w:cs="Times New Roman" w:ascii="Times New Roman" w:hAnsi="Times New Roman"/>
          <w:sz w:val="24"/>
        </w:rPr>
        <w:t xml:space="preserve">In the event of Utility’s interruption of electric energy supply to ECS and upon request of Customer, ECS shall provide to Customer any documentation of such interruption received by ECS from the Utility.  </w:t>
      </w:r>
    </w:p>
    <w:p>
      <w:pPr>
        <w:pStyle w:val="Normal"/>
        <w:jc w:val="both"/>
        <w:rPr>
          <w:rFonts w:ascii="Times New Roman" w:hAnsi="Times New Roman" w:cs="Times New Roman"/>
          <w:sz w:val="24"/>
        </w:rPr>
      </w:pPr>
      <w:r>
        <w:rPr>
          <w:rFonts w:cs="Times New Roman" w:ascii="Times New Roman" w:hAnsi="Times New Roman"/>
          <w:sz w:val="24"/>
        </w:rPr>
      </w:r>
    </w:p>
    <w:p>
      <w:pPr>
        <w:pStyle w:val="Heading1"/>
        <w:ind w:hanging="0" w:start="0"/>
        <w:rPr>
          <w:b/>
        </w:rPr>
      </w:pPr>
      <w:r>
        <w:rPr>
          <w:b/>
        </w:rPr>
        <w:t>ARTICLE 3</w:t>
      </w:r>
    </w:p>
    <w:p>
      <w:pPr>
        <w:pStyle w:val="Normal"/>
        <w:jc w:val="center"/>
        <w:rPr>
          <w:rFonts w:ascii="Times New Roman" w:hAnsi="Times New Roman" w:cs="Times New Roman"/>
          <w:sz w:val="24"/>
        </w:rPr>
      </w:pPr>
      <w:r>
        <w:rPr>
          <w:rFonts w:cs="Times New Roman" w:ascii="Times New Roman" w:hAnsi="Times New Roman"/>
          <w:b/>
          <w:sz w:val="24"/>
        </w:rPr>
        <w:t>COMPENSATION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3.1.</w:t>
        <w:tab/>
      </w:r>
      <w:r>
        <w:rPr>
          <w:rFonts w:cs="Times New Roman" w:ascii="Times New Roman" w:hAnsi="Times New Roman"/>
          <w:sz w:val="24"/>
          <w:u w:val="single"/>
        </w:rPr>
        <w:t>Test Period</w:t>
      </w:r>
      <w:r>
        <w:rPr>
          <w:rFonts w:cs="Times New Roman" w:ascii="Times New Roman" w:hAnsi="Times New Roman"/>
          <w:sz w:val="24"/>
        </w:rPr>
        <w:t>. During the Test Period, ECS shall invoice Customer only for actual expenses incurred by ECS to provide the Contract Quantity and Shaft Energy during the Test Period prior to the Start Date.  Payment for the Contract Quantity and Shaft Energy delivered during the Test Period shall be paid pursuant to an invoice for such expenses.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3.2.</w:t>
        <w:tab/>
      </w:r>
      <w:r>
        <w:rPr>
          <w:rFonts w:cs="Times New Roman" w:ascii="Times New Roman" w:hAnsi="Times New Roman"/>
          <w:sz w:val="24"/>
          <w:u w:val="single"/>
        </w:rPr>
        <w:t>Annual Charge</w:t>
      </w:r>
      <w:r>
        <w:rPr>
          <w:rFonts w:cs="Times New Roman" w:ascii="Times New Roman" w:hAnsi="Times New Roman"/>
          <w:sz w:val="24"/>
        </w:rPr>
        <w:t xml:space="preserve">.  As compensation for the delivery of Contract Quantity to Customer, Customer agrees to pay ECS an Annual Charge in the amount equal to </w:t>
      </w:r>
      <w:r>
        <w:rPr>
          <w:rFonts w:cs="Times New Roman" w:ascii="Times New Roman" w:hAnsi="Times New Roman"/>
          <w:color w:val="0000FF"/>
          <w:sz w:val="24"/>
        </w:rPr>
        <w:t>$1,204,000</w:t>
      </w:r>
      <w:r>
        <w:rPr>
          <w:rFonts w:cs="Times New Roman" w:ascii="Times New Roman" w:hAnsi="Times New Roman"/>
          <w:sz w:val="24"/>
        </w:rPr>
        <w:t xml:space="preserve">.  Commencing on </w:t>
      </w:r>
      <w:r>
        <w:rPr>
          <w:rFonts w:cs="Times New Roman" w:ascii="Times New Roman" w:hAnsi="Times New Roman"/>
          <w:color w:val="0000FF"/>
          <w:sz w:val="24"/>
        </w:rPr>
        <w:t>October 1, 2002 (</w:t>
      </w:r>
      <w:r>
        <w:rPr>
          <w:rFonts w:cs="Times New Roman" w:ascii="Times New Roman" w:hAnsi="Times New Roman"/>
          <w:sz w:val="24"/>
        </w:rPr>
        <w:t xml:space="preserve">the Start Date). The Annual Charge shall be payable in twelve equal monthly installments, in accordance with Section 4.1(b) hereunder. </w:t>
      </w:r>
      <w:r>
        <w:rPr>
          <w:rFonts w:cs="Times New Roman" w:ascii="Times New Roman" w:hAnsi="Times New Roman"/>
          <w:color w:val="0000FF"/>
          <w:sz w:val="24"/>
        </w:rPr>
        <w:t>The Annual Charge includes current local, state and federal taxes.  Any additional taxes as well as any increase or decrease in taxes will be invoiced or credited to OGS Pipeline L.L.C. by ECS</w:t>
      </w:r>
      <w:r>
        <w:rPr>
          <w:rFonts w:cs="Times New Roman" w:ascii="Times New Roman" w:hAnsi="Times New Roman"/>
          <w:sz w:val="24"/>
        </w:rPr>
        <w:t>.</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3.3.</w:t>
        <w:tab/>
      </w:r>
      <w:r>
        <w:rPr>
          <w:rFonts w:cs="Times New Roman" w:ascii="Times New Roman" w:hAnsi="Times New Roman"/>
          <w:sz w:val="24"/>
          <w:u w:val="single"/>
        </w:rPr>
        <w:t>HP-hour Charge</w:t>
      </w:r>
      <w:r>
        <w:rPr>
          <w:rFonts w:cs="Times New Roman" w:ascii="Times New Roman" w:hAnsi="Times New Roman"/>
          <w:sz w:val="24"/>
        </w:rPr>
        <w:t>.  In addition to the Annual Charge, Customer shall pay ECS a monthly HP-hour Charge in MMBtus of natural gas ("Fuel Gas").  The HP-hour Charge shall be calculated as follows:</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BodyTextIndent"/>
        <w:widowControl/>
        <w:numPr>
          <w:ilvl w:val="0"/>
          <w:numId w:val="3"/>
        </w:numPr>
        <w:tabs>
          <w:tab w:val="clear" w:pos="720"/>
          <w:tab w:val="left" w:pos="1440" w:leader="none"/>
        </w:tabs>
        <w:ind w:hanging="450" w:start="1440" w:end="0"/>
        <w:rPr/>
      </w:pPr>
      <w:r>
        <w:rPr/>
        <w:t>The HP-hour Charge for each month throughout the Term shall be as specified in Exhibit “A” attached hereto for the applicable month (the "</w:t>
      </w:r>
      <w:r>
        <w:rPr>
          <w:u w:val="single"/>
        </w:rPr>
        <w:t>Estimated HHC</w:t>
      </w:r>
      <w:r>
        <w:rPr/>
        <w:t>").  Any difference between the Estimated HHC and the Actual HP-hour Charge (the "</w:t>
      </w:r>
      <w:r>
        <w:rPr>
          <w:u w:val="single"/>
        </w:rPr>
        <w:t>True Up</w:t>
      </w:r>
      <w:r>
        <w:rPr/>
        <w:t xml:space="preserve">") for the applicable month shall be added or subtracted, as applicable, to the Estimated HHC to be delivered to ECS during the second month succeeding the current month.  For example, the True Up for the month of May shall be added or subtracted to/from the Estimated HHC for the month of July.  ECS shall provide Customer with written notice specifying in reasonable detail the True Up volumes as soon as reasonably possible prior to the month during which the True Up will be applied.  In no event shall the HP-hour Charge for each month during the Summer Months be less than the minimum HP-hour Charge for such month as set forth on Exhibit “A” attached hereto.  </w:t>
      </w:r>
    </w:p>
    <w:p>
      <w:pPr>
        <w:pStyle w:val="BodyTextIndent"/>
        <w:widowControl/>
        <w:rPr/>
      </w:pPr>
      <w:r>
        <w:rPr/>
      </w:r>
    </w:p>
    <w:p>
      <w:pPr>
        <w:pStyle w:val="BodyTextIndent"/>
        <w:widowControl/>
        <w:ind w:start="1440" w:end="0"/>
        <w:rPr/>
      </w:pPr>
      <w:r>
        <w:rPr/>
        <w:t>If the in-service date is on a day other than the first day of a month, then, for such month only, the Actual HP-hour charge for the month in which the in-service date occurs (the "</w:t>
      </w:r>
      <w:r>
        <w:rPr>
          <w:u w:val="single"/>
        </w:rPr>
        <w:t>Start Up Month</w:t>
      </w:r>
      <w:r>
        <w:rPr/>
        <w:t>") shall be added to the Estimated HHC to be delivered to ECS during the second month succeeding the Start Up Month.</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BodyTextIndent2"/>
        <w:tabs>
          <w:tab w:val="left" w:pos="720" w:leader="none"/>
          <w:tab w:val="left" w:pos="1440" w:leader="none"/>
        </w:tabs>
        <w:rPr/>
      </w:pPr>
      <w:r>
        <w:rPr/>
        <w:t>(b)</w:t>
        <w:tab/>
        <w:t xml:space="preserve">The amount of Shaft Energy actually delivered to Customer each month shall be equal to the product of (A) the amount of kWh consumed by the Compressor Motor during such month, as measured by the Primary Meter times (B) </w:t>
      </w:r>
      <w:r>
        <w:rPr>
          <w:color w:val="0000FF"/>
        </w:rPr>
        <w:t>1.314 hp per kw</w:t>
      </w:r>
      <w:r>
        <w:rPr/>
        <w: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3.5</w:t>
        <w:tab/>
      </w:r>
      <w:r>
        <w:rPr>
          <w:rFonts w:cs="Times New Roman" w:ascii="Times New Roman" w:hAnsi="Times New Roman"/>
          <w:color w:val="FF0000"/>
          <w:sz w:val="24"/>
          <w:u w:val="single"/>
        </w:rPr>
        <w:t>Reimbursement for Certain Expenses</w:t>
      </w:r>
      <w:r>
        <w:rPr>
          <w:rFonts w:cs="Times New Roman" w:ascii="Times New Roman" w:hAnsi="Times New Roman"/>
          <w:color w:val="FF0000"/>
          <w:sz w:val="24"/>
        </w:rPr>
        <w:t>.  If ECS is assessed a charge by the Utility for power factor correction and/or required to install additional equipment relating to the Electrical Drive System to ensure a power factor of at least 95 percent</w:t>
      </w:r>
      <w:r>
        <w:rPr>
          <w:rFonts w:cs="Times New Roman" w:ascii="Times New Roman" w:hAnsi="Times New Roman"/>
          <w:b/>
          <w:color w:val="FF0000"/>
          <w:sz w:val="24"/>
        </w:rPr>
        <w:t>,</w:t>
      </w:r>
      <w:r>
        <w:rPr>
          <w:rFonts w:cs="Times New Roman" w:ascii="Times New Roman" w:hAnsi="Times New Roman"/>
          <w:color w:val="FF0000"/>
          <w:sz w:val="24"/>
        </w:rPr>
        <w:t xml:space="preserve"> Customer will reimburse ECS for the actual expenses incurred by ECS in that regard within ten (10) days of receipt of an invoice from ECS.  </w:t>
      </w:r>
    </w:p>
    <w:p>
      <w:pPr>
        <w:pStyle w:val="Normal"/>
        <w:tabs>
          <w:tab w:val="left" w:pos="720" w:leader="none"/>
          <w:tab w:val="left" w:pos="1440" w:leader="none"/>
        </w:tabs>
        <w:jc w:val="both"/>
        <w:rPr>
          <w:rFonts w:ascii="Times New Roman" w:hAnsi="Times New Roman" w:cs="Times New Roman"/>
          <w:color w:val="FF0000"/>
          <w:sz w:val="24"/>
        </w:rPr>
      </w:pPr>
      <w:r>
        <w:rPr>
          <w:rFonts w:cs="Times New Roman" w:ascii="Times New Roman" w:hAnsi="Times New Roman"/>
          <w:color w:val="FF0000"/>
          <w:sz w:val="24"/>
        </w:rPr>
      </w:r>
    </w:p>
    <w:p>
      <w:pPr>
        <w:pStyle w:val="Normal"/>
        <w:tabs>
          <w:tab w:val="left" w:pos="720" w:leader="none"/>
        </w:tabs>
        <w:ind w:firstLine="720" w:end="0"/>
        <w:jc w:val="both"/>
        <w:rPr/>
      </w:pPr>
      <w:r>
        <w:rPr>
          <w:rFonts w:cs="Times New Roman" w:ascii="Times New Roman" w:hAnsi="Times New Roman"/>
          <w:sz w:val="24"/>
        </w:rPr>
        <w:t>3.6</w:t>
        <w:tab/>
      </w:r>
      <w:r>
        <w:rPr>
          <w:rFonts w:cs="Times New Roman" w:ascii="Times New Roman" w:hAnsi="Times New Roman"/>
          <w:sz w:val="24"/>
          <w:u w:val="single"/>
        </w:rPr>
        <w:t>Delivery of Fuel Gas</w:t>
      </w:r>
      <w:r>
        <w:rPr>
          <w:rFonts w:cs="Times New Roman" w:ascii="Times New Roman" w:hAnsi="Times New Roman"/>
          <w:sz w:val="24"/>
        </w:rPr>
        <w:t>.  No later than the tenth (10</w:t>
      </w:r>
      <w:r>
        <w:rPr>
          <w:rFonts w:cs="Times New Roman" w:ascii="Times New Roman" w:hAnsi="Times New Roman"/>
          <w:sz w:val="24"/>
          <w:vertAlign w:val="superscript"/>
        </w:rPr>
        <w:t>th</w:t>
      </w:r>
      <w:r>
        <w:rPr>
          <w:rFonts w:cs="Times New Roman" w:ascii="Times New Roman" w:hAnsi="Times New Roman"/>
          <w:sz w:val="24"/>
        </w:rPr>
        <w:t xml:space="preserve">) Business Day prior to the end of each month, ECS shall send Customer a written notice specifying in reasonable detail the HP-hour Charge payable, and the equivalent amount of Fuel Gas to be delivered, to ECS for the immediately succeeding month. The monthly HP-hour Charge shall be delivered to ECS in equal daily installments.  ECS shall take receipt of the monthly HP-hour Charge at the delivery points listed on Schedule I attached hereto or other such delivery point(s) as ECS and Customer may mutually agree upon in writing. </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4</w:t>
      </w:r>
    </w:p>
    <w:p>
      <w:pPr>
        <w:pStyle w:val="Normal"/>
        <w:jc w:val="center"/>
        <w:rPr>
          <w:rFonts w:ascii="Times New Roman" w:hAnsi="Times New Roman" w:cs="Times New Roman"/>
          <w:b/>
          <w:sz w:val="24"/>
        </w:rPr>
      </w:pPr>
      <w:r>
        <w:rPr>
          <w:rFonts w:cs="Times New Roman" w:ascii="Times New Roman" w:hAnsi="Times New Roman"/>
          <w:b/>
          <w:sz w:val="24"/>
        </w:rPr>
        <w:t>TERMS OF PAYMENT</w:t>
      </w:r>
    </w:p>
    <w:p>
      <w:pPr>
        <w:pStyle w:val="Normal"/>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0" w:leader="none"/>
        </w:tabs>
        <w:ind w:hanging="720" w:start="1440" w:end="0"/>
        <w:rPr/>
      </w:pPr>
      <w:r>
        <w:rPr>
          <w:rFonts w:cs="Times New Roman" w:ascii="Times New Roman" w:hAnsi="Times New Roman"/>
          <w:sz w:val="24"/>
        </w:rPr>
        <w:t>4.1.</w:t>
        <w:tab/>
      </w:r>
      <w:r>
        <w:rPr>
          <w:rFonts w:cs="Times New Roman" w:ascii="Times New Roman" w:hAnsi="Times New Roman"/>
          <w:sz w:val="24"/>
          <w:u w:val="single"/>
        </w:rPr>
        <w:t>Invoices</w:t>
      </w:r>
      <w:r>
        <w:rPr>
          <w:rFonts w:cs="Times New Roman" w:ascii="Times New Roman" w:hAnsi="Times New Roman"/>
          <w:sz w:val="24"/>
        </w:rPr>
        <w:t>.</w:t>
      </w:r>
    </w:p>
    <w:p>
      <w:pPr>
        <w:pStyle w:val="Normal"/>
        <w:tabs>
          <w:tab w:val="clear" w:pos="720"/>
          <w:tab w:val="left" w:pos="144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For each calendar month, ECS shall deliver to Customer within ten (10) days following the last day of such month, an invoice for the monthly installment of the Annual Charge.</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pPr>
      <w:r>
        <w:rPr>
          <w:rFonts w:cs="Times New Roman" w:ascii="Times New Roman" w:hAnsi="Times New Roman"/>
          <w:sz w:val="24"/>
        </w:rPr>
        <w:t>(b)</w:t>
        <w:tab/>
        <w:t>Customer shall pay each invoice for the Annual Charge by the later of: (i) the tenth (10</w:t>
      </w:r>
      <w:r>
        <w:rPr>
          <w:rFonts w:cs="Times New Roman" w:ascii="Times New Roman" w:hAnsi="Times New Roman"/>
          <w:sz w:val="24"/>
          <w:vertAlign w:val="superscript"/>
        </w:rPr>
        <w:t>th</w:t>
      </w:r>
      <w:r>
        <w:rPr>
          <w:rFonts w:cs="Times New Roman" w:ascii="Times New Roman" w:hAnsi="Times New Roman"/>
          <w:sz w:val="24"/>
        </w:rPr>
        <w:t>) day after the invoice was received or (ii) the twentieth (20</w:t>
      </w:r>
      <w:r>
        <w:rPr>
          <w:rFonts w:cs="Times New Roman" w:ascii="Times New Roman" w:hAnsi="Times New Roman"/>
          <w:sz w:val="24"/>
          <w:vertAlign w:val="superscript"/>
        </w:rPr>
        <w:t>th</w:t>
      </w:r>
      <w:r>
        <w:rPr>
          <w:rFonts w:cs="Times New Roman" w:ascii="Times New Roman" w:hAnsi="Times New Roman"/>
          <w:sz w:val="24"/>
        </w:rPr>
        <w:t>) day of the calendar month in which the invoice was received, and if such day for payment is not a Business Day, then the next Business Day.  Customer shall make payment to ECS by wire transfer to the payment address set forth in Section 9.1.</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BodyTextIndent2"/>
        <w:rPr/>
      </w:pPr>
      <w:r>
        <w:rPr/>
        <w:t>(c)</w:t>
        <w:tab/>
        <w:t>If any invoice is not paid when due, then interest shall accrue and be payable on such past due amount at the annual rate equal to the prime rate from time to time charged by Citibank, N.A., New York, New York to responsible and substantial commercial and industrial borrowers plus 2%, or the maximum rate permitted by applicable law, whichever is less (the "Past Due Rate"); provided, however, that such failure to pay is not the result of a bona fide dispute or failure to timely receive notice of any such charges, in which event interest shall not be due except on the agreed amount due after resolution of such dispute or, in case of the untimely receipt of notice, ten days after the notice was received.  Such interest shall accrue beginning on the due date of such unpaid invoice or of such unpaid amount.</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If Customer, in good faith, disputes any part of any invoice, Customer shall pay the portion of such invoice conceded to be correct.  If the disputed billing is determined to be correct, it shall be paid within ten days of such determination, along with interest calculated from the original due date until the date paid at an interest rate equal to the Past Due Rate.</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center"/>
        <w:rPr>
          <w:rFonts w:ascii="Times New Roman" w:hAnsi="Times New Roman" w:cs="Times New Roman"/>
          <w:b/>
          <w:sz w:val="24"/>
        </w:rPr>
      </w:pPr>
      <w:r>
        <w:rPr>
          <w:rFonts w:cs="Times New Roman" w:ascii="Times New Roman" w:hAnsi="Times New Roman"/>
          <w:b/>
          <w:sz w:val="24"/>
        </w:rPr>
        <w:t>ARTICLE 5</w:t>
      </w:r>
    </w:p>
    <w:p>
      <w:pPr>
        <w:pStyle w:val="Normal"/>
        <w:tabs>
          <w:tab w:val="clear" w:pos="720"/>
          <w:tab w:val="left" w:pos="864" w:leader="none"/>
          <w:tab w:val="left" w:pos="1440" w:leader="none"/>
        </w:tabs>
        <w:jc w:val="center"/>
        <w:rPr>
          <w:rFonts w:ascii="Times New Roman" w:hAnsi="Times New Roman" w:cs="Times New Roman"/>
          <w:b/>
          <w:sz w:val="24"/>
        </w:rPr>
      </w:pPr>
      <w:r>
        <w:rPr>
          <w:rFonts w:cs="Times New Roman" w:ascii="Times New Roman" w:hAnsi="Times New Roman"/>
          <w:b/>
          <w:sz w:val="24"/>
        </w:rPr>
        <w:t>COVENANTS; REPRESENTATIONS AND WARRANTIES</w:t>
      </w:r>
    </w:p>
    <w:p>
      <w:pPr>
        <w:pStyle w:val="Normal"/>
        <w:tabs>
          <w:tab w:val="clear" w:pos="720"/>
          <w:tab w:val="left" w:pos="864" w:leader="none"/>
          <w:tab w:val="left" w:pos="1440" w:leader="none"/>
        </w:tabs>
        <w:jc w:val="both"/>
        <w:rPr>
          <w:rFonts w:ascii="Times New Roman" w:hAnsi="Times New Roman" w:cs="Times New Roman"/>
          <w:b/>
          <w:sz w:val="24"/>
        </w:rPr>
      </w:pPr>
      <w:r>
        <w:rPr>
          <w:rFonts w:cs="Times New Roman" w:ascii="Times New Roman" w:hAnsi="Times New Roman"/>
          <w:b/>
          <w:sz w:val="24"/>
        </w:rPr>
      </w:r>
    </w:p>
    <w:p>
      <w:pPr>
        <w:pStyle w:val="Normal"/>
        <w:tabs>
          <w:tab w:val="clear" w:pos="720"/>
          <w:tab w:val="left" w:pos="864" w:leader="none"/>
          <w:tab w:val="left" w:pos="1440" w:leader="none"/>
        </w:tabs>
        <w:ind w:hanging="720" w:start="1440" w:end="0"/>
        <w:jc w:val="both"/>
        <w:rPr/>
      </w:pPr>
      <w:r>
        <w:rPr>
          <w:rFonts w:cs="Times New Roman" w:ascii="Times New Roman" w:hAnsi="Times New Roman"/>
          <w:sz w:val="24"/>
        </w:rPr>
        <w:t>5.1.</w:t>
        <w:tab/>
      </w:r>
      <w:r>
        <w:rPr>
          <w:rFonts w:cs="Times New Roman" w:ascii="Times New Roman" w:hAnsi="Times New Roman"/>
          <w:sz w:val="24"/>
          <w:u w:val="single"/>
        </w:rPr>
        <w:t>ECS Covenants</w:t>
      </w:r>
      <w:r>
        <w:rPr>
          <w:rFonts w:cs="Times New Roman" w:ascii="Times New Roman" w:hAnsi="Times New Roman"/>
          <w:sz w:val="24"/>
        </w:rPr>
        <w:t>.  At all times during this Agreement, ECS shall:</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Maintain a reliable supply of electrical energy to power the Compressor Motors, subject to the provisions of Section 2.5; and</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Comply with all laws, ordinances, rules and regulations applicable to the Compression Services provided under this Agreement, including, without limitation, the procurement and maintenance of all necessary governmental permits, licenses and inspections.</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5.2</w:t>
        <w:tab/>
      </w:r>
      <w:r>
        <w:rPr>
          <w:rFonts w:cs="Times New Roman" w:ascii="Times New Roman" w:hAnsi="Times New Roman"/>
          <w:sz w:val="24"/>
          <w:u w:val="single"/>
        </w:rPr>
        <w:t>Customer Covenants</w:t>
      </w:r>
      <w:r>
        <w:rPr>
          <w:rFonts w:cs="Times New Roman" w:ascii="Times New Roman" w:hAnsi="Times New Roman"/>
          <w:sz w:val="24"/>
        </w:rPr>
        <w:t>.  At all times during this Agreement, Customer shall comply with all laws, ordinances, rules and regulations applicable to the operation of the Compressor Station, including, without limitation, the procurement and maintenance of all necessary governmental permits, licenses and inspections.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5.3</w:t>
        <w:tab/>
      </w:r>
      <w:r>
        <w:rPr>
          <w:rFonts w:cs="Times New Roman" w:ascii="Times New Roman" w:hAnsi="Times New Roman"/>
          <w:sz w:val="24"/>
          <w:u w:val="single"/>
        </w:rPr>
        <w:t>Representations and Warranties</w:t>
      </w:r>
      <w:r>
        <w:rPr>
          <w:rFonts w:cs="Times New Roman" w:ascii="Times New Roman" w:hAnsi="Times New Roman"/>
          <w:sz w:val="24"/>
        </w:rPr>
        <w:t>.  As a material inducement to entering into this Agreement, each party, with respect to itself, hereby represents and warrants to the other party as of the Start Date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(a)</w:t>
        <w:tab/>
        <w:t>it is duly organized, validly existing and in good standing under the laws of the jurisdiction of its formation and is qualified to conduct its business in those jurisdictions necessary to perform this Agreement;</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it has all regulatory authorizations necessary for it to legally perform its obligations under this Agreement;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there are no bankruptcy, insolvency, reorganization, receivership or other arrangement proceedings pending or being contemplated by it, or to its knowledge threatened against it; and</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there are no suits, proceedings, judgments, rulings or orders by or before any court or any governmental authority that materially adversely affect its ability to perform this Agreement.</w:t>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center"/>
        <w:rPr>
          <w:rFonts w:ascii="Times New Roman" w:hAnsi="Times New Roman" w:cs="Times New Roman"/>
          <w:b/>
          <w:sz w:val="24"/>
        </w:rPr>
      </w:pPr>
      <w:r>
        <w:rPr>
          <w:rFonts w:cs="Times New Roman" w:ascii="Times New Roman" w:hAnsi="Times New Roman"/>
          <w:b/>
          <w:sz w:val="24"/>
        </w:rPr>
        <w:t>ARTICLE 6</w:t>
      </w:r>
    </w:p>
    <w:p>
      <w:pPr>
        <w:pStyle w:val="Normal"/>
        <w:tabs>
          <w:tab w:val="left" w:pos="720" w:leader="none"/>
          <w:tab w:val="left" w:pos="1440" w:leader="none"/>
        </w:tabs>
        <w:ind w:hanging="720" w:start="1440" w:end="0"/>
        <w:jc w:val="center"/>
        <w:rPr>
          <w:rFonts w:ascii="Times New Roman" w:hAnsi="Times New Roman" w:cs="Times New Roman"/>
          <w:b/>
          <w:sz w:val="24"/>
        </w:rPr>
      </w:pPr>
      <w:r>
        <w:rPr>
          <w:rFonts w:cs="Times New Roman" w:ascii="Times New Roman" w:hAnsi="Times New Roman"/>
          <w:b/>
          <w:sz w:val="24"/>
        </w:rPr>
        <w:t>TERM AND TERMINATION</w:t>
      </w:r>
    </w:p>
    <w:p>
      <w:pPr>
        <w:pStyle w:val="Normal"/>
        <w:tabs>
          <w:tab w:val="left" w:pos="720" w:leader="none"/>
          <w:tab w:val="left" w:pos="144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6.1.</w:t>
        <w:tab/>
      </w:r>
      <w:r>
        <w:rPr>
          <w:rFonts w:cs="Times New Roman" w:ascii="Times New Roman" w:hAnsi="Times New Roman"/>
          <w:sz w:val="24"/>
          <w:u w:val="single"/>
        </w:rPr>
        <w:t>Term</w:t>
      </w:r>
      <w:r>
        <w:rPr>
          <w:rFonts w:cs="Times New Roman" w:ascii="Times New Roman" w:hAnsi="Times New Roman"/>
          <w:sz w:val="24"/>
        </w:rPr>
        <w:t xml:space="preserve">.  Except as otherwise provided herein, this Agreement shall become effective on the date first above written and shall continue in full force and effect for a term (the "Term") of 10 years from the Start Date.  </w:t>
      </w:r>
      <w:r>
        <w:rPr>
          <w:rFonts w:cs="Times New Roman" w:ascii="Times New Roman" w:hAnsi="Times New Roman"/>
          <w:color w:val="0000FF"/>
          <w:sz w:val="24"/>
        </w:rPr>
        <w:t>The “True Up” process will continue for a period of up to two months following the expiration of the 10-year term</w:t>
      </w:r>
      <w:r>
        <w:rPr>
          <w:rFonts w:cs="Times New Roman" w:ascii="Times New Roman" w:hAnsi="Times New Roman"/>
          <w:sz w:val="24"/>
        </w:rPr>
        <w: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rPr>
      </w:pPr>
      <w:r>
        <w:rPr>
          <w:rFonts w:cs="Times New Roman" w:ascii="Times New Roman" w:hAnsi="Times New Roman"/>
          <w:b/>
          <w:sz w:val="24"/>
        </w:rPr>
        <w:t>ARTICLE 7</w:t>
      </w:r>
    </w:p>
    <w:p>
      <w:pPr>
        <w:pStyle w:val="Normal"/>
        <w:tabs>
          <w:tab w:val="clear" w:pos="720"/>
          <w:tab w:val="left" w:pos="2736" w:leader="none"/>
        </w:tabs>
        <w:jc w:val="center"/>
        <w:rPr>
          <w:rFonts w:ascii="Times New Roman" w:hAnsi="Times New Roman" w:cs="Times New Roman"/>
          <w:sz w:val="24"/>
        </w:rPr>
      </w:pPr>
      <w:r>
        <w:rPr>
          <w:rFonts w:cs="Times New Roman" w:ascii="Times New Roman" w:hAnsi="Times New Roman"/>
          <w:b/>
          <w:sz w:val="24"/>
        </w:rPr>
        <w:t>EVENT OF DEFAULT; REMEDIES</w:t>
      </w:r>
    </w:p>
    <w:p>
      <w:pPr>
        <w:pStyle w:val="Normal"/>
        <w:tabs>
          <w:tab w:val="clear" w:pos="720"/>
          <w:tab w:val="left" w:pos="2736"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7.1.</w:t>
        <w:tab/>
      </w:r>
      <w:r>
        <w:rPr>
          <w:rFonts w:cs="Times New Roman" w:ascii="Times New Roman" w:hAnsi="Times New Roman"/>
          <w:sz w:val="24"/>
          <w:u w:val="single"/>
        </w:rPr>
        <w:t>Events of Default</w:t>
      </w:r>
      <w:r>
        <w:rPr>
          <w:rFonts w:cs="Times New Roman" w:ascii="Times New Roman" w:hAnsi="Times New Roman"/>
          <w:sz w:val="24"/>
        </w:rPr>
        <w:t>.  Subject to the provisions of the next paragraph, the occurrence of any of the following specified events shall constitute an "Event of Default" under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the failure by either Customer or ECS to make, when due, any payment required pursuant to this Agreement if such failure is not remedied within thirty (30) days after written notice of such failure is given to the defaulting party by the other party and provided the payment is not the subject of a good faith dispute as described in Section 4.1;</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any representation or warranty made by either Customer or ECS herein shall at any time prove to be false or misleading in any material respect;</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failure by either Customer or ECS to perform any material covenant set forth in this Agreement (other than the events that are otherwise specifically covered in this Section 7.1 as a separate Event of Default), and such failure is not excused by Force Majeure or cured within thirty (30) days after written notice thereof is given to the Defaulting Party (hereinafter defined) by the Non-Defaulting Party (hereinafter defined);</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either Customer or ECS (i) makes an assignment or any general arrangement for the benefit of creditors (other than an assignment permitted by Section 9.5), (ii) files a petition or otherwise commences, authorizes or acquiesces in the commencement of a proceeding or cause of action under any bankruptcy or similar law for the protection of creditors, or has such petition filed against it and such petition is not withdrawn or dismissed for thirty (30) days after such filing, (iii) otherwise becomes bankrupt or insolvent (however evidenced), or (iv) is unable to pay its debts as they become due;</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 xml:space="preserve">an assignment or transfer of this Agreement is made by either Customer or ECS in violation of Section 10.5 hereof; or </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For purposes of this Article 7, the party causing an Event of Default shall be called the "Defaulting Party" and the other party shall be called the "Non-Defaulting Party." Notwithstanding Section 9.3, each occurrence of any of the specified events shall not constitute an Event of Default unless the Non-Defaulting Party gives the Defaulting Party written notice that such event constitutes an Event of Default hereunder within ninety (90) days after the Non-Defaulting Party has actual knowledge that such event has occurred.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7.2.</w:t>
        <w:tab/>
      </w:r>
      <w:r>
        <w:rPr>
          <w:rFonts w:cs="Times New Roman" w:ascii="Times New Roman" w:hAnsi="Times New Roman"/>
          <w:sz w:val="24"/>
          <w:u w:val="single"/>
        </w:rPr>
        <w:t>Remedies</w:t>
      </w:r>
      <w:r>
        <w:rPr>
          <w:rFonts w:cs="Times New Roman" w:ascii="Times New Roman" w:hAnsi="Times New Roman"/>
          <w:sz w:val="24"/>
        </w:rPr>
        <w:t>.  If an Event of Default occurs, the Non-Defaulting Party may, upon thirty (30) days' prior written notice to the Defaulting Party, establish a date on which this Agreement will terminate early (the "Early Termination Date"), except for any obligations for damages owed as a result of such early termination, in addition to exercising any other rights available to the Non-Defaulting Party at law or in equity.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 xml:space="preserve">7.3     </w:t>
      </w:r>
      <w:r>
        <w:rPr>
          <w:rFonts w:cs="Times New Roman" w:ascii="Times New Roman" w:hAnsi="Times New Roman"/>
          <w:sz w:val="24"/>
          <w:u w:val="single"/>
        </w:rPr>
        <w:t>Occurrence of Certain Events upon Termination</w:t>
      </w:r>
      <w:r>
        <w:rPr>
          <w:rFonts w:cs="Times New Roman" w:ascii="Times New Roman" w:hAnsi="Times New Roman"/>
          <w:sz w:val="24"/>
        </w:rPr>
        <w:t>.  Upon the termination of this Agreement, other than at the end of the Term as provided elsewhere in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BodyTextIndent2"/>
        <w:tabs>
          <w:tab w:val="clear" w:pos="1440"/>
        </w:tabs>
        <w:rPr/>
      </w:pPr>
      <w:r>
        <w:rPr/>
        <w:t>(a)</w:t>
        <w:tab/>
        <w:t xml:space="preserve">ECS shall assign to Customer, and Customer shall assume, all of ECS's rights and obligations under the Utility Power Agreement; </w:t>
      </w:r>
    </w:p>
    <w:p>
      <w:pPr>
        <w:pStyle w:val="BodyTextIndent2"/>
        <w:tabs>
          <w:tab w:val="clear" w:pos="1440"/>
        </w:tabs>
        <w:rPr/>
      </w:pPr>
      <w:r>
        <w:rPr/>
      </w:r>
    </w:p>
    <w:p>
      <w:pPr>
        <w:pStyle w:val="BodyTextIndent2"/>
        <w:tabs>
          <w:tab w:val="clear" w:pos="1440"/>
        </w:tabs>
        <w:rPr/>
      </w:pPr>
      <w:r>
        <w:rPr/>
        <w:t>(b)</w:t>
        <w:tab/>
        <w:t>Customer shall purchase the Interconnection Facilities for an amount equal to ECS's net book value</w:t>
      </w:r>
      <w:r>
        <w:rPr>
          <w:color w:val="0000FF"/>
        </w:rPr>
        <w:t xml:space="preserve"> or assume all of ECS’s rights and obligations under the applicable Agreements</w:t>
      </w:r>
      <w:r>
        <w:rPr/>
        <w:t>; and</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(c)</w:t>
        <w:tab/>
        <w:t xml:space="preserve">If Customer is the Defaulting Party, Customer shall make a payment to ECS in accordance with Exhibit "B" for the transmission line extension and appurtenant facilities. </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7.4</w:t>
        <w:tab/>
      </w:r>
      <w:r>
        <w:rPr>
          <w:rFonts w:cs="Times New Roman" w:ascii="Times New Roman" w:hAnsi="Times New Roman"/>
          <w:sz w:val="24"/>
          <w:u w:val="single"/>
        </w:rPr>
        <w:t>ECS Remedies</w:t>
      </w:r>
      <w:r>
        <w:rPr>
          <w:rFonts w:cs="Times New Roman" w:ascii="Times New Roman" w:hAnsi="Times New Roman"/>
          <w:sz w:val="24"/>
        </w:rPr>
        <w:t xml:space="preserve">. If Customer is the Defaulting Party and ECS terminates this Agreement in accordance with Section 10.2 of this Agreement, (i) Customer shall indemnify and hold ECS harmless with respect to any costs and expenses incurred by ECS in the assignment of any electric energy supply agreement under Section 7.3(a) of this Agreement, (ii) all fixed amounts due to ECS during the term of this Agreement, less all avoidable expenses that ECS would have incurred in performing the Compression Services under this Agreement shall immediately be declared due and payable by Customer to ECS, and (iii) Customer shall reimburse ECS for all costs and expenses incurred by ECS to unwind the forward sale of natural gas volumes to be delivered to ECS hereunder throughout the remaining Term of this Agreement. </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7.5.</w:t>
        <w:tab/>
      </w:r>
      <w:r>
        <w:rPr>
          <w:rFonts w:cs="Times New Roman" w:ascii="Times New Roman" w:hAnsi="Times New Roman"/>
          <w:sz w:val="24"/>
          <w:u w:val="single"/>
        </w:rPr>
        <w:t>Termination Payment</w:t>
      </w:r>
      <w:r>
        <w:rPr>
          <w:rFonts w:cs="Times New Roman" w:ascii="Times New Roman" w:hAnsi="Times New Roman"/>
          <w:sz w:val="24"/>
        </w:rPr>
        <w:t>. Within thirty (30) days of the Early Termination Date each party shall pay to the other party all amounts payable pursuant to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7.6.</w:t>
        <w:tab/>
      </w:r>
      <w:r>
        <w:rPr>
          <w:rFonts w:cs="Times New Roman" w:ascii="Times New Roman" w:hAnsi="Times New Roman"/>
          <w:sz w:val="24"/>
          <w:u w:val="single"/>
        </w:rPr>
        <w:t>Limitation of Remedies, Liability and Damages</w:t>
      </w:r>
      <w:r>
        <w:rPr>
          <w:rFonts w:cs="Times New Roman" w:ascii="Times New Roman" w:hAnsi="Times New Roman"/>
          <w:sz w:val="24"/>
        </w:rPr>
        <w:t>.  UNLESS OTHERWISE AGREED HEREIN, IN NO EVENT SHALL ANY PARTY BE LIABLE TO THE OTHER PARTY HERETO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SUCH PARTY'S SOLE, JOINT OR CONCURRENT NEGLIGENCE.  TO THE EXTENT ANY PAYMENT REQUIRED TO BE MADE UNDER THIS AGREEMENT IS AGREED BY THE PARTIES TO CONSTITUTE LIQUIDATED DAMAGES, THE PARTIES ACKNOWLEDGE THAT THE DAMAGES ARE DIFFICULT OR IMPOSSIBLE TO DETERMINE AND THAT SUCH PAYMENT CONSTITUTES A REASONABLE APPROXIMATION OF SUCH DAMAGES, AND NOT A PENALTY.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7.7.</w:t>
        <w:tab/>
      </w:r>
      <w:r>
        <w:rPr>
          <w:rFonts w:cs="Times New Roman" w:ascii="Times New Roman" w:hAnsi="Times New Roman"/>
          <w:sz w:val="24"/>
          <w:u w:val="single"/>
        </w:rPr>
        <w:t>Duty to Mitigate</w:t>
      </w:r>
      <w:r>
        <w:rPr>
          <w:rFonts w:cs="Times New Roman" w:ascii="Times New Roman" w:hAnsi="Times New Roman"/>
          <w:sz w:val="24"/>
        </w:rPr>
        <w:t>.  Each party agrees that it has a duty to mitigate damages and covenants that it will use commercially reasonable efforts to minimize any damages it may incur as a result of the other party's performance or non-performance of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3"/>
        <w:ind w:hanging="0" w:start="0"/>
        <w:rPr/>
      </w:pPr>
      <w:r>
        <w:rPr/>
        <w:t>ARTICLE 8</w:t>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EASEMENT RIGHTS</w:t>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r>
    </w:p>
    <w:p>
      <w:pPr>
        <w:pStyle w:val="BodyTextIndent2"/>
        <w:tabs>
          <w:tab w:val="clear" w:pos="1440"/>
          <w:tab w:val="left" w:pos="0" w:leader="none"/>
        </w:tabs>
        <w:ind w:firstLine="720" w:start="0" w:end="0"/>
        <w:rPr/>
      </w:pPr>
      <w:r>
        <w:rPr/>
        <w:t xml:space="preserve">Customer shall grant to ECS without warranty, express or implied, the non-exclusive rights of ingress and egress upon the OGS Hinkle Electric Compressor Station for the sole purpose of constructing the Interconnection Facilities and the Compressor Motor.  Customer also shall grant to ECS for the benefit of ECS’s operation and maintenance provider, without warranty, express or implied, the non-exclusive rights of ingress and egress upon the OGS Hinkle Electric Compressor Station for the sole purpose of maintaining, and operating the Interconnection Facilities the </w:t>
      </w:r>
      <w:r>
        <w:rPr>
          <w:color w:val="0000FF"/>
        </w:rPr>
        <w:t>Electrical Drive System</w:t>
      </w:r>
      <w:r>
        <w:rPr/>
        <w:t xml:space="preserve">, respectively.  ECS, and the maintenance provider shall have the right at all times to enter upon the </w:t>
      </w:r>
      <w:r>
        <w:rPr>
          <w:color w:val="0000FF"/>
        </w:rPr>
        <w:t>OGS Hinkle Electric Compressor Station</w:t>
      </w:r>
      <w:r>
        <w:rPr/>
        <w:t xml:space="preserve"> for the purpose of maintaining the Interconnection Facilities, the Electrical Drive System, including, without limitation, performing inspections, maintenance, repairs and replacements, and responding to any emergency conditions, all in accordance herewith.  All such grants shall be made in form acceptable to ECS.  </w:t>
      </w:r>
      <w:r>
        <w:rPr>
          <w:color w:val="0000FF"/>
        </w:rPr>
        <w:t>OGS agrees to coordinate and respond to maintenance activities in order to provide for the manipulation of the Customers OGS Hinkle Compressor station and associated pipeline system beyond the limits of the Electrical Drive system and the associated compressor skids, isolation and blow down valves.</w:t>
      </w:r>
    </w:p>
    <w:p>
      <w:pPr>
        <w:pStyle w:val="Normal"/>
        <w:tabs>
          <w:tab w:val="left" w:pos="720" w:leader="none"/>
        </w:tabs>
        <w:jc w:val="both"/>
        <w:rPr>
          <w:rFonts w:ascii="Times New Roman" w:hAnsi="Times New Roman" w:cs="Times New Roman"/>
          <w:color w:val="0000FF"/>
          <w:sz w:val="24"/>
        </w:rPr>
      </w:pPr>
      <w:r>
        <w:rPr>
          <w:rFonts w:cs="Times New Roman" w:ascii="Times New Roman" w:hAnsi="Times New Roman"/>
          <w:color w:val="0000FF"/>
          <w:sz w:val="24"/>
        </w:rPr>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ARTICLE 9</w:t>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FORCE MAJEURE</w:t>
      </w:r>
    </w:p>
    <w:p>
      <w:pPr>
        <w:pStyle w:val="Normal"/>
        <w:tabs>
          <w:tab w:val="left" w:pos="72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9.1.</w:t>
        <w:tab/>
      </w:r>
      <w:r>
        <w:rPr>
          <w:rFonts w:cs="Times New Roman" w:ascii="Times New Roman" w:hAnsi="Times New Roman"/>
          <w:sz w:val="24"/>
          <w:u w:val="single"/>
        </w:rPr>
        <w:t>Notice of Force Majeure</w:t>
      </w:r>
      <w:r>
        <w:rPr>
          <w:rFonts w:cs="Times New Roman" w:ascii="Times New Roman" w:hAnsi="Times New Roman"/>
          <w:sz w:val="24"/>
        </w:rPr>
        <w:t>.  In the event either party is rendered unable, wholly or in part, by Force Majeure to carry out its obligations under this Agreement, except payment of money or the minimum HP-hour Charge, it is agreed that upon such party's giving written notice and reasonably full particulars of such Force Majeure to the other within a reasonable time after the occurrence of the cause relied upon, then the obligations of the party giving such notice, insofar as it is affected by such Force Majeure, shall be suspended during the continuance of any inability so caused, but for no longer period, provided such cause shall be remedied with all reasonable dispatch.</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9.2.</w:t>
        <w:tab/>
      </w:r>
      <w:r>
        <w:rPr>
          <w:rFonts w:cs="Times New Roman" w:ascii="Times New Roman" w:hAnsi="Times New Roman"/>
          <w:sz w:val="24"/>
          <w:u w:val="single"/>
        </w:rPr>
        <w:t>Strikes and Lockouts</w:t>
      </w:r>
      <w:r>
        <w:rPr>
          <w:rFonts w:cs="Times New Roman" w:ascii="Times New Roman" w:hAnsi="Times New Roman"/>
          <w:sz w:val="24"/>
        </w:rPr>
        <w:t>.  It is understood and agreed that the settlement of strikes or lockouts shall be entirely within the discretion of the party having the difficulty and that the above requirement that any Force Majeure shall be remedied with all reasonable dispatch shall not require the settlement of strikes or lockouts of acceding to the demands of an opposing party when such course is inadvisable in the discretion of the party having the difficulty.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10</w:t>
      </w:r>
    </w:p>
    <w:p>
      <w:pPr>
        <w:pStyle w:val="Normal"/>
        <w:keepNext w:val="true"/>
        <w:jc w:val="center"/>
        <w:rPr>
          <w:rFonts w:ascii="Times New Roman" w:hAnsi="Times New Roman" w:cs="Times New Roman"/>
          <w:b/>
          <w:sz w:val="24"/>
        </w:rPr>
      </w:pPr>
      <w:r>
        <w:rPr>
          <w:rFonts w:cs="Times New Roman" w:ascii="Times New Roman" w:hAnsi="Times New Roman"/>
          <w:b/>
          <w:sz w:val="24"/>
        </w:rPr>
        <w:t>ARBITRATION</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keepNext w:val="true"/>
        <w:jc w:val="both"/>
        <w:rPr/>
      </w:pPr>
      <w:r>
        <w:rPr>
          <w:rFonts w:cs="Times New Roman" w:ascii="Times New Roman" w:hAnsi="Times New Roman"/>
          <w:sz w:val="24"/>
        </w:rPr>
        <w:tab/>
        <w:t xml:space="preserve">10.1  </w:t>
      </w:r>
      <w:r>
        <w:rPr>
          <w:rFonts w:cs="Times New Roman" w:ascii="Times New Roman" w:hAnsi="Times New Roman"/>
          <w:sz w:val="24"/>
          <w:u w:val="single"/>
        </w:rPr>
        <w:t>Agreement to Arbitrate</w:t>
      </w:r>
      <w:r>
        <w:rPr>
          <w:rFonts w:cs="Times New Roman" w:ascii="Times New Roman" w:hAnsi="Times New Roman"/>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10.2  </w:t>
      </w:r>
      <w:r>
        <w:rPr>
          <w:rFonts w:cs="Times New Roman" w:ascii="Times New Roman" w:hAnsi="Times New Roman"/>
          <w:sz w:val="24"/>
          <w:u w:val="single"/>
        </w:rPr>
        <w:t>Conduct of the Arbitration, Authority of the Arbitrators, and Choice of Law</w:t>
      </w:r>
      <w:r>
        <w:rPr>
          <w:rFonts w:cs="Times New Roman" w:ascii="Times New Roman" w:hAnsi="Times New Roman"/>
          <w:sz w:val="24"/>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11.3 hereof.  Unless otherwise agreed herein, it is agreed that the arbitrators shall have no authority to award lost or prospective profits, treble, exemplary, punitive, special, consequential, indirect, incidental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10.3  </w:t>
      </w:r>
      <w:r>
        <w:rPr>
          <w:rFonts w:cs="Times New Roman" w:ascii="Times New Roman" w:hAnsi="Times New Roman"/>
          <w:sz w:val="24"/>
          <w:u w:val="single"/>
        </w:rPr>
        <w:t>Forum for the Arbitration and Selection of Arbitrators</w:t>
      </w:r>
      <w:r>
        <w:rPr>
          <w:rFonts w:cs="Times New Roman" w:ascii="Times New Roman" w:hAnsi="Times New Roman"/>
          <w:sz w:val="24"/>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BodyText"/>
        <w:ind w:firstLine="720" w:end="0"/>
        <w:rPr/>
      </w:pPr>
      <w:r>
        <w:rPr/>
        <w:t xml:space="preserve">10.4  </w:t>
      </w:r>
      <w:r>
        <w:rPr>
          <w:u w:val="single"/>
        </w:rPr>
        <w:t>Confidentiality</w:t>
      </w:r>
      <w:r>
        <w:rPr/>
        <w:t>.  To the fullest extent permitted by law, any arbitration proceeding and the arbitrators award shall be maintained in confidence by the Parties.</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ARTICLE 11</w:t>
      </w:r>
    </w:p>
    <w:p>
      <w:pPr>
        <w:pStyle w:val="Normal"/>
        <w:tabs>
          <w:tab w:val="left" w:pos="720" w:leader="none"/>
        </w:tabs>
        <w:jc w:val="center"/>
        <w:rPr>
          <w:rFonts w:ascii="Times New Roman" w:hAnsi="Times New Roman" w:cs="Times New Roman"/>
          <w:b/>
          <w:sz w:val="24"/>
        </w:rPr>
      </w:pPr>
      <w:r>
        <w:rPr>
          <w:rFonts w:cs="Times New Roman" w:ascii="Times New Roman" w:hAnsi="Times New Roman"/>
          <w:b/>
          <w:sz w:val="24"/>
        </w:rPr>
        <w:t>MISCELLANEOUS</w:t>
      </w:r>
    </w:p>
    <w:p>
      <w:pPr>
        <w:pStyle w:val="Normal"/>
        <w:tabs>
          <w:tab w:val="left" w:pos="720"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11.1.</w:t>
        <w:tab/>
      </w:r>
      <w:r>
        <w:rPr>
          <w:rFonts w:cs="Times New Roman" w:ascii="Times New Roman" w:hAnsi="Times New Roman"/>
          <w:sz w:val="24"/>
          <w:u w:val="single"/>
        </w:rPr>
        <w:t>Notices</w:t>
      </w:r>
      <w:r>
        <w:rPr>
          <w:rFonts w:cs="Times New Roman" w:ascii="Times New Roman" w:hAnsi="Times New Roman"/>
          <w:sz w:val="24"/>
        </w:rPr>
        <w:t>.  Any notice, request, statement, bill or payment provided for in this Agreement, or any notice which either party may desire to give to the other, shall be in writing and shall be given by personal delivery, by United States mail, postage prepaid, by overnight delivery service, or by facsimile, and addressed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If to ECS:</w:t>
        <w:tab/>
        <w:t>Enron Compression Services Company</w:t>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ab/>
        <w:t>1400 Smith Street 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Attn.: Director of Compression Services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345-7040</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ind w:firstLine="720" w:start="1440" w:end="0"/>
        <w:rPr>
          <w:rFonts w:ascii="Times New Roman" w:hAnsi="Times New Roman" w:cs="Times New Roman"/>
          <w:sz w:val="24"/>
        </w:rPr>
      </w:pPr>
      <w:r>
        <w:rPr>
          <w:rFonts w:cs="Times New Roman" w:ascii="Times New Roman" w:hAnsi="Times New Roman"/>
          <w:b/>
          <w:sz w:val="24"/>
        </w:rPr>
        <w:t>Matters concerning Section 3.6</w:t>
      </w:r>
    </w:p>
    <w:p>
      <w:pPr>
        <w:pStyle w:val="Normal"/>
        <w:ind w:start="2160" w:end="0"/>
        <w:rPr>
          <w:rFonts w:ascii="Times New Roman" w:hAnsi="Times New Roman" w:cs="Times New Roman"/>
          <w:sz w:val="24"/>
        </w:rPr>
      </w:pPr>
      <w:r>
        <w:rPr>
          <w:rFonts w:cs="Times New Roman" w:ascii="Times New Roman" w:hAnsi="Times New Roman"/>
          <w:b/>
          <w:sz w:val="24"/>
        </w:rPr>
        <w:t>Copy to:</w:t>
      </w:r>
    </w:p>
    <w:p>
      <w:pPr>
        <w:pStyle w:val="Normal"/>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Enron North America Corp.</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___________________</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1400 Smith Street</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tab/>
        <w:t>Houston, Texas 77002</w:t>
      </w:r>
    </w:p>
    <w:p>
      <w:pPr>
        <w:pStyle w:val="Heading2"/>
        <w:rPr/>
      </w:pPr>
      <w:r>
        <w:rPr/>
        <w:t>Telephone No.: (713) 853-6219</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646-2492</w:t>
      </w:r>
      <w:r>
        <w:br w:type="page"/>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start="1440" w:end="0"/>
        <w:rPr>
          <w:rFonts w:ascii="Times New Roman" w:hAnsi="Times New Roman" w:cs="Times New Roman"/>
          <w:sz w:val="24"/>
        </w:rPr>
      </w:pPr>
      <w:r>
        <w:rPr>
          <w:rFonts w:cs="Times New Roman" w:ascii="Times New Roman" w:hAnsi="Times New Roman"/>
          <w:sz w:val="24"/>
        </w:rPr>
        <w:t xml:space="preserve">If to Customer: </w:t>
      </w:r>
      <w:r>
        <w:rPr>
          <w:rFonts w:cs="Times New Roman" w:ascii="Times New Roman" w:hAnsi="Times New Roman"/>
          <w:sz w:val="24"/>
          <w:u w:val="single"/>
        </w:rPr>
        <w:t>Emergency Matters: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_____________________________</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_____________________________</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_____________________________</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u w:val="single"/>
        </w:rPr>
        <w:t>Other Matters: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_______________________________</w:t>
      </w:r>
    </w:p>
    <w:p>
      <w:pPr>
        <w:pStyle w:val="Normal"/>
        <w:tabs>
          <w:tab w:val="clear" w:pos="720"/>
          <w:tab w:val="left" w:pos="2880" w:leader="none"/>
          <w:tab w:val="left" w:pos="3600" w:leader="none"/>
        </w:tabs>
        <w:ind w:hanging="720" w:start="3600" w:end="0"/>
        <w:rPr>
          <w:rFonts w:ascii="Times New Roman" w:hAnsi="Times New Roman" w:cs="Times New Roman"/>
          <w:sz w:val="24"/>
        </w:rPr>
      </w:pPr>
      <w:r>
        <w:rPr>
          <w:rFonts w:cs="Times New Roman" w:ascii="Times New Roman" w:hAnsi="Times New Roman"/>
          <w:sz w:val="24"/>
        </w:rPr>
        <w:t>_______________________________</w:t>
      </w:r>
    </w:p>
    <w:p>
      <w:pPr>
        <w:pStyle w:val="Normal"/>
        <w:tabs>
          <w:tab w:val="clear" w:pos="720"/>
          <w:tab w:val="left" w:pos="2880" w:leader="none"/>
          <w:tab w:val="left" w:pos="3600" w:leader="none"/>
        </w:tabs>
        <w:ind w:hanging="720" w:start="3600" w:end="0"/>
        <w:rPr>
          <w:rFonts w:ascii="Times New Roman" w:hAnsi="Times New Roman" w:cs="Times New Roman"/>
          <w:sz w:val="24"/>
        </w:rPr>
      </w:pPr>
      <w:r>
        <w:rPr>
          <w:rFonts w:cs="Times New Roman" w:ascii="Times New Roman" w:hAnsi="Times New Roman"/>
          <w:sz w:val="24"/>
        </w:rPr>
        <w:t>_______________________________</w:t>
      </w:r>
    </w:p>
    <w:p>
      <w:pPr>
        <w:pStyle w:val="Normal"/>
        <w:tabs>
          <w:tab w:val="clear" w:pos="720"/>
          <w:tab w:val="left" w:pos="2880" w:leader="none"/>
          <w:tab w:val="left" w:pos="3600" w:leader="none"/>
        </w:tabs>
        <w:ind w:hanging="720" w:start="3600" w:end="0"/>
        <w:rPr>
          <w:rFonts w:ascii="Times New Roman" w:hAnsi="Times New Roman" w:cs="Times New Roman"/>
          <w:sz w:val="24"/>
        </w:rPr>
      </w:pPr>
      <w:r>
        <w:rPr>
          <w:rFonts w:cs="Times New Roman" w:ascii="Times New Roman" w:hAnsi="Times New Roman"/>
          <w:sz w:val="24"/>
        </w:rPr>
        <w:t>_______________________________</w:t>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11.2.</w:t>
        <w:tab/>
      </w:r>
      <w:r>
        <w:rPr>
          <w:rFonts w:cs="Times New Roman" w:ascii="Times New Roman" w:hAnsi="Times New Roman"/>
          <w:sz w:val="24"/>
          <w:u w:val="single"/>
        </w:rPr>
        <w:t>Confidentiality</w:t>
      </w:r>
      <w:r>
        <w:rPr>
          <w:rFonts w:cs="Times New Roman" w:ascii="Times New Roman" w:hAnsi="Times New Roman"/>
          <w:sz w:val="24"/>
        </w:rPr>
        <w:t xml:space="preserve">.  Each party shall not disclose the terms of this Agreement to a third party (other than the party's and its affiliates' employees, lenders, counsel or accountants who have agreed to keep such terms confidential) except in order to comply with any applicable law, order, regulation, exchange rule, or order of a court or agency having competent jurisdiction; </w:t>
      </w:r>
      <w:r>
        <w:rPr>
          <w:rFonts w:cs="Times New Roman" w:ascii="Times New Roman" w:hAnsi="Times New Roman"/>
          <w:i/>
          <w:sz w:val="24"/>
        </w:rPr>
        <w:t xml:space="preserve">provided, </w:t>
      </w:r>
      <w:r>
        <w:rPr>
          <w:rFonts w:cs="Times New Roman" w:ascii="Times New Roman" w:hAnsi="Times New Roman"/>
          <w:sz w:val="24"/>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rFonts w:cs="Times New Roman" w:ascii="Times New Roman" w:hAnsi="Times New Roman"/>
          <w:i/>
          <w:sz w:val="24"/>
        </w:rPr>
        <w:t xml:space="preserve">provided, </w:t>
      </w:r>
      <w:r>
        <w:rPr>
          <w:rFonts w:cs="Times New Roman" w:ascii="Times New Roman" w:hAnsi="Times New Roman"/>
          <w:sz w:val="24"/>
        </w:rPr>
        <w:t>that all monetary damages shall be limited to actual, direct damages.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11.3.</w:t>
        <w:tab/>
      </w:r>
      <w:r>
        <w:rPr>
          <w:rFonts w:cs="Times New Roman" w:ascii="Times New Roman" w:hAnsi="Times New Roman"/>
          <w:sz w:val="24"/>
          <w:u w:val="single"/>
        </w:rPr>
        <w:t>Non-waiver</w:t>
      </w:r>
      <w:r>
        <w:rPr>
          <w:rFonts w:cs="Times New Roman" w:ascii="Times New Roman" w:hAnsi="Times New Roman"/>
          <w:sz w:val="24"/>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11.4.</w:t>
        <w:tab/>
      </w:r>
      <w:r>
        <w:rPr>
          <w:rFonts w:cs="Times New Roman" w:ascii="Times New Roman" w:hAnsi="Times New Roman"/>
          <w:sz w:val="24"/>
          <w:u w:val="single"/>
        </w:rPr>
        <w:t>Amendments</w:t>
      </w:r>
      <w:r>
        <w:rPr>
          <w:rFonts w:cs="Times New Roman" w:ascii="Times New Roman" w:hAnsi="Times New Roman"/>
          <w:sz w:val="24"/>
        </w:rPr>
        <w:t>.  No modifications of the terms and conditions of this Agreement shall be effective except by execution of a written agreement by both parties hereto.</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11.5.</w:t>
        <w:tab/>
      </w:r>
      <w:r>
        <w:rPr>
          <w:rFonts w:cs="Times New Roman" w:ascii="Times New Roman" w:hAnsi="Times New Roman"/>
          <w:sz w:val="24"/>
          <w:u w:val="single"/>
        </w:rPr>
        <w:t>Successors and Assigns</w:t>
      </w:r>
      <w:r>
        <w:rPr>
          <w:rFonts w:cs="Times New Roman" w:ascii="Times New Roman" w:hAnsi="Times New Roman"/>
          <w:sz w:val="24"/>
        </w:rPr>
        <w:t xml:space="preserve">.  This Agreement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rFonts w:cs="Times New Roman" w:ascii="Times New Roman" w:hAnsi="Times New Roman"/>
          <w:i/>
          <w:sz w:val="24"/>
        </w:rPr>
        <w:t xml:space="preserve">provided, however, </w:t>
      </w:r>
      <w:r>
        <w:rPr>
          <w:rFonts w:cs="Times New Roman" w:ascii="Times New Roman" w:hAnsi="Times New Roman"/>
          <w:sz w:val="24"/>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11.6.</w:t>
        <w:tab/>
      </w:r>
      <w:r>
        <w:rPr>
          <w:rFonts w:cs="Times New Roman" w:ascii="Times New Roman" w:hAnsi="Times New Roman"/>
          <w:sz w:val="24"/>
          <w:u w:val="single"/>
        </w:rPr>
        <w:t>Governing Law</w:t>
      </w:r>
      <w:r>
        <w:rPr>
          <w:rFonts w:cs="Times New Roman" w:ascii="Times New Roman" w:hAnsi="Times New Roman"/>
          <w:sz w:val="24"/>
        </w:rPr>
        <w:t>.  THE VALIDITY AND INTERPRETATION OF THIS AGREEMENT SHALL BE GOVERNED BY THE LAWS OF THE STATE OF TEXAS WITHOUT REGARD TO THE CONFLICT OF LAW PRINCIPLES THEREOF.  This Agreement and all Compression Services shall be subject to all valid and applicable laws, orders, directive, rules, regulations of any duly constituted governmental body or official having jurisdiction.</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11.7.</w:t>
        <w:tab/>
      </w:r>
      <w:r>
        <w:rPr>
          <w:rFonts w:cs="Times New Roman" w:ascii="Times New Roman" w:hAnsi="Times New Roman"/>
          <w:sz w:val="24"/>
          <w:u w:val="single"/>
        </w:rPr>
        <w:t>No Third Party Rights</w:t>
      </w:r>
      <w:r>
        <w:rPr>
          <w:rFonts w:cs="Times New Roman" w:ascii="Times New Roman" w:hAnsi="Times New Roman"/>
          <w:sz w:val="24"/>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11.8.</w:t>
        <w:tab/>
      </w:r>
      <w:r>
        <w:rPr>
          <w:rFonts w:cs="Times New Roman" w:ascii="Times New Roman" w:hAnsi="Times New Roman"/>
          <w:sz w:val="24"/>
          <w:u w:val="single"/>
        </w:rPr>
        <w:t>Invalidity</w:t>
      </w:r>
      <w:r>
        <w:rPr>
          <w:rFonts w:cs="Times New Roman" w:ascii="Times New Roman" w:hAnsi="Times New Roman"/>
          <w:sz w:val="24"/>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11.9.</w:t>
        <w:tab/>
      </w:r>
      <w:r>
        <w:rPr>
          <w:rFonts w:cs="Times New Roman" w:ascii="Times New Roman" w:hAnsi="Times New Roman"/>
          <w:sz w:val="24"/>
          <w:u w:val="single"/>
        </w:rPr>
        <w:t>Entirety</w:t>
      </w:r>
      <w:r>
        <w:rPr>
          <w:rFonts w:cs="Times New Roman" w:ascii="Times New Roman" w:hAnsi="Times New Roman"/>
          <w:sz w:val="24"/>
        </w:rPr>
        <w:t>.  This Agreement constitutes the entire agreement concerning the subject matter between the parties hereto and supersedes all prior agreements and understandings relating to the subject matter 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11.10.</w:t>
        <w:tab/>
      </w:r>
      <w:r>
        <w:rPr>
          <w:rFonts w:cs="Times New Roman" w:ascii="Times New Roman" w:hAnsi="Times New Roman"/>
          <w:sz w:val="24"/>
          <w:u w:val="single"/>
        </w:rPr>
        <w:t>Headings</w:t>
      </w:r>
      <w:r>
        <w:rPr>
          <w:rFonts w:cs="Times New Roman" w:ascii="Times New Roman" w:hAnsi="Times New Roman"/>
          <w:sz w:val="24"/>
        </w:rPr>
        <w:t>.  The headings in this Agreement are for reference purposes only and shall not affect the meaning 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11.11</w:t>
        <w:tab/>
      </w:r>
      <w:r>
        <w:rPr>
          <w:rFonts w:cs="Times New Roman" w:ascii="Times New Roman" w:hAnsi="Times New Roman"/>
          <w:sz w:val="24"/>
          <w:u w:val="single"/>
        </w:rPr>
        <w:t>Effective</w:t>
      </w:r>
      <w:r>
        <w:rPr>
          <w:rFonts w:cs="Times New Roman" w:ascii="Times New Roman" w:hAnsi="Times New Roman"/>
          <w:sz w:val="24"/>
        </w:rPr>
        <w:t xml:space="preserve">.  This Agreement is effective ___________________.  With the exception of the Test Period provided in Section 3.1 hereof, the obligation to provide and pay for services hereunder shall not commence until the Start Date.  </w:t>
      </w:r>
    </w:p>
    <w:p>
      <w:pPr>
        <w:pStyle w:val="Normal"/>
        <w:tabs>
          <w:tab w:val="left" w:pos="720" w:leader="none"/>
        </w:tabs>
        <w:ind w:end="-1440"/>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b/>
          <w:sz w:val="24"/>
        </w:rPr>
        <w:t xml:space="preserve">IN WITNESS WHEREOF, </w:t>
      </w:r>
      <w:r>
        <w:rPr>
          <w:rFonts w:cs="Times New Roman" w:ascii="Times New Roman" w:hAnsi="Times New Roman"/>
          <w:sz w:val="24"/>
        </w:rPr>
        <w:t>the parties hereto have caused this Agreement to be executed by their duly authorized representatives on the date first above written.</w:t>
      </w:r>
    </w:p>
    <w:p>
      <w:pPr>
        <w:pStyle w:val="Normal"/>
        <w:tabs>
          <w:tab w:val="left" w:pos="720" w:leader="none"/>
        </w:tabs>
        <w:ind w:end="-1440"/>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5040" w:leader="none"/>
        </w:tabs>
        <w:rPr>
          <w:rFonts w:ascii="Times New Roman" w:hAnsi="Times New Roman" w:cs="Times New Roman"/>
          <w:b/>
          <w:sz w:val="24"/>
        </w:rPr>
      </w:pPr>
      <w:r>
        <w:rPr>
          <w:rFonts w:cs="Times New Roman" w:ascii="Times New Roman" w:hAnsi="Times New Roman"/>
          <w:b/>
          <w:sz w:val="24"/>
        </w:rPr>
        <w:t xml:space="preserve">       </w:t>
      </w:r>
      <w:r>
        <w:rPr>
          <w:rFonts w:cs="Times New Roman" w:ascii="Times New Roman" w:hAnsi="Times New Roman"/>
          <w:b/>
          <w:sz w:val="24"/>
        </w:rPr>
        <w:t xml:space="preserve">ENRON COMPRESSION </w:t>
      </w:r>
      <w:r>
        <w:rPr>
          <w:rFonts w:cs="Times New Roman" w:ascii="Times New Roman" w:hAnsi="Times New Roman"/>
          <w:sz w:val="24"/>
        </w:rPr>
        <w:tab/>
        <w:t xml:space="preserve">                 </w:t>
      </w:r>
      <w:r>
        <w:rPr>
          <w:rFonts w:cs="Times New Roman" w:ascii="Times New Roman" w:hAnsi="Times New Roman"/>
          <w:b/>
          <w:bCs/>
          <w:sz w:val="24"/>
        </w:rPr>
        <w:t>OGS Pipeline L.L.C</w:t>
      </w:r>
      <w:r>
        <w:rPr>
          <w:rFonts w:cs="Times New Roman" w:ascii="Times New Roman" w:hAnsi="Times New Roman"/>
          <w:sz w:val="24"/>
        </w:rPr>
        <w:t xml:space="preserve"> </w:t>
      </w:r>
    </w:p>
    <w:p>
      <w:pPr>
        <w:pStyle w:val="Heading5"/>
        <w:ind w:hanging="0" w:start="0"/>
        <w:rPr/>
      </w:pPr>
      <w:r>
        <w:rPr/>
        <w:t xml:space="preserve">        </w:t>
      </w:r>
      <w:r>
        <w:rPr/>
        <w:t>SERVICES COMPANY</w:t>
        <w:tab/>
        <w:tab/>
        <w:tab/>
        <w:tab/>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Heading4"/>
        <w:ind w:hanging="0" w:start="0"/>
        <w:rPr/>
      </w:pPr>
      <w:r>
        <w:rPr/>
        <w:t>By:</w:t>
        <w:tab/>
        <w:t>___________________________</w:t>
        <w:tab/>
        <w:tab/>
        <w:t>By:</w:t>
        <w:tab/>
        <w:t>_____________________________</w:t>
      </w:r>
    </w:p>
    <w:p>
      <w:pPr>
        <w:pStyle w:val="Normal"/>
        <w:rPr>
          <w:rFonts w:ascii="Times New Roman" w:hAnsi="Times New Roman" w:cs="Times New Roman"/>
          <w:sz w:val="24"/>
        </w:rPr>
      </w:pPr>
      <w:r>
        <w:rPr>
          <w:rFonts w:cs="Times New Roman" w:ascii="Times New Roman" w:hAnsi="Times New Roman"/>
          <w:sz w:val="24"/>
        </w:rPr>
        <w:t>Name:</w:t>
        <w:tab/>
        <w:t>___________________________</w:t>
        <w:tab/>
        <w:tab/>
        <w:t>Name:</w:t>
        <w:tab/>
        <w:t>_____________________________</w:t>
      </w:r>
    </w:p>
    <w:p>
      <w:pPr>
        <w:pStyle w:val="Normal"/>
        <w:rPr>
          <w:rFonts w:ascii="Times New Roman" w:hAnsi="Times New Roman" w:cs="Times New Roman"/>
          <w:sz w:val="24"/>
        </w:rPr>
      </w:pPr>
      <w:r>
        <w:rPr>
          <w:rFonts w:cs="Times New Roman" w:ascii="Times New Roman" w:hAnsi="Times New Roman"/>
          <w:sz w:val="24"/>
        </w:rPr>
        <w:t>Title:</w:t>
        <w:tab/>
        <w:t>___________________________</w:t>
        <w:tab/>
        <w:tab/>
        <w:t>Title:</w:t>
        <w:tab/>
        <w:t>_____________________________</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ab/>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Normal"/>
        <w:rPr>
          <w:rFonts w:ascii="Times New Roman" w:hAnsi="Times New Roman" w:cs="Times New Roman"/>
          <w:sz w:val="24"/>
        </w:rPr>
      </w:pPr>
      <w:r>
        <w:rPr>
          <w:rFonts w:cs="Times New Roman" w:ascii="Times New Roman" w:hAnsi="Times New Roman"/>
          <w:sz w:val="24"/>
        </w:rPr>
      </w:r>
    </w:p>
    <w:p>
      <w:pPr>
        <w:pStyle w:val="WW-BodyText2"/>
        <w:jc w:val="center"/>
        <w:rPr>
          <w:rFonts w:ascii="Times New Roman" w:hAnsi="Times New Roman" w:cs="Times New Roman"/>
          <w:b/>
          <w:sz w:val="24"/>
        </w:rPr>
      </w:pPr>
      <w:r>
        <w:rPr>
          <w:rFonts w:cs="Times New Roman" w:ascii="Times New Roman" w:hAnsi="Times New Roman"/>
          <w:b/>
          <w:sz w:val="24"/>
        </w:rPr>
      </w:r>
    </w:p>
    <w:p>
      <w:pPr>
        <w:pStyle w:val="WW-BodyText2"/>
        <w:jc w:val="center"/>
        <w:rPr>
          <w:rFonts w:ascii="Times New Roman" w:hAnsi="Times New Roman" w:cs="Times New Roman"/>
          <w:b/>
        </w:rPr>
      </w:pPr>
      <w:r>
        <w:rPr>
          <w:rFonts w:cs="Times New Roman" w:ascii="Times New Roman" w:hAnsi="Times New Roman"/>
          <w:b/>
        </w:rPr>
        <w:t>SCHEDULE I</w:t>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r>
    </w:p>
    <w:p>
      <w:pPr>
        <w:pStyle w:val="WW-BodyText2"/>
        <w:jc w:val="center"/>
        <w:rPr>
          <w:rFonts w:ascii="Times New Roman" w:hAnsi="Times New Roman" w:cs="Times New Roman"/>
          <w:b/>
        </w:rPr>
      </w:pPr>
      <w:r>
        <w:rPr>
          <w:rFonts w:cs="Times New Roman" w:ascii="Times New Roman" w:hAnsi="Times New Roman"/>
          <w:b/>
        </w:rPr>
        <w:t xml:space="preserve">HP-HOUR CHARGE </w:t>
      </w:r>
    </w:p>
    <w:p>
      <w:pPr>
        <w:pStyle w:val="WW-BodyText2"/>
        <w:jc w:val="center"/>
        <w:rPr>
          <w:rFonts w:ascii="Times New Roman" w:hAnsi="Times New Roman" w:cs="Times New Roman"/>
          <w:b/>
        </w:rPr>
      </w:pPr>
      <w:r>
        <w:rPr>
          <w:rFonts w:cs="Times New Roman" w:ascii="Times New Roman" w:hAnsi="Times New Roman"/>
          <w:b/>
        </w:rPr>
        <w:t>DELIVERY POINTS</w:t>
      </w:r>
    </w:p>
    <w:p>
      <w:pPr>
        <w:pStyle w:val="WW-BodyText2"/>
        <w:jc w:val="center"/>
        <w:rPr>
          <w:rFonts w:ascii="Times New Roman" w:hAnsi="Times New Roman" w:cs="Times New Roman"/>
          <w:b/>
        </w:rPr>
      </w:pPr>
      <w:r>
        <w:rPr>
          <w:rFonts w:cs="Times New Roman" w:ascii="Times New Roman" w:hAnsi="Times New Roman"/>
          <w:b/>
        </w:rPr>
      </w:r>
    </w:p>
    <w:p>
      <w:pPr>
        <w:pStyle w:val="WW-BodyText2"/>
        <w:rPr>
          <w:rFonts w:ascii="Times New Roman" w:hAnsi="Times New Roman" w:cs="Times New Roman"/>
        </w:rPr>
      </w:pPr>
      <w:r>
        <w:rPr>
          <w:rFonts w:cs="Times New Roman" w:ascii="Times New Roman" w:hAnsi="Times New Roman"/>
        </w:rPr>
        <w:tab/>
      </w:r>
    </w:p>
    <w:p>
      <w:pPr>
        <w:pStyle w:val="WW-BodyText2"/>
        <w:numPr>
          <w:ilvl w:val="0"/>
          <w:numId w:val="2"/>
        </w:numPr>
        <w:rPr>
          <w:rFonts w:ascii="Times New Roman" w:hAnsi="Times New Roman" w:cs="Times New Roman"/>
        </w:rPr>
      </w:pPr>
      <w:r>
        <w:rPr>
          <w:rFonts w:cs="Times New Roman" w:ascii="Times New Roman" w:hAnsi="Times New Roman"/>
          <w:b/>
          <w:u w:val="single"/>
        </w:rPr>
        <w:t>DELIVERY POINTS</w:t>
      </w:r>
      <w:r>
        <w:rPr>
          <w:rFonts w:cs="Times New Roman" w:ascii="Times New Roman" w:hAnsi="Times New Roman"/>
          <w:b/>
        </w:rPr>
        <w:t xml:space="preserve">  </w:t>
      </w:r>
      <w:r>
        <w:rPr>
          <w:rFonts w:cs="Times New Roman" w:ascii="Times New Roman" w:hAnsi="Times New Roman"/>
        </w:rPr>
        <w:t>ECS shall take receipt of the monthly HP-hour Charge at the following point(s) of delivery from the OGS Pipeline system:</w:t>
      </w:r>
    </w:p>
    <w:p>
      <w:pPr>
        <w:pStyle w:val="WW-BodyText2"/>
        <w:rPr>
          <w:rFonts w:ascii="Times New Roman" w:hAnsi="Times New Roman" w:cs="Times New Roman"/>
        </w:rPr>
      </w:pPr>
      <w:r>
        <w:rPr>
          <w:rFonts w:cs="Times New Roman" w:ascii="Times New Roman" w:hAnsi="Times New Roman"/>
        </w:rPr>
      </w:r>
    </w:p>
    <w:p>
      <w:pPr>
        <w:pStyle w:val="WW-BodyText2"/>
        <w:ind w:hanging="0" w:start="1830" w:end="0"/>
        <w:rPr>
          <w:rFonts w:ascii="Times New Roman" w:hAnsi="Times New Roman" w:cs="Times New Roman"/>
        </w:rPr>
      </w:pPr>
      <w:r>
        <w:rPr>
          <w:rFonts w:cs="Times New Roman" w:ascii="Times New Roman" w:hAnsi="Times New Roman"/>
        </w:rPr>
        <w:t xml:space="preserve">Primary Point/s - </w:t>
        <w:tab/>
        <w:tab/>
        <w:t xml:space="preserve">into TETCO  </w:t>
      </w:r>
    </w:p>
    <w:p>
      <w:pPr>
        <w:pStyle w:val="WW-BodyText2"/>
        <w:rPr>
          <w:rFonts w:ascii="Times New Roman" w:hAnsi="Times New Roman" w:cs="Times New Roman"/>
        </w:rPr>
      </w:pPr>
      <w:r>
        <w:rPr>
          <w:rFonts w:cs="Times New Roman" w:ascii="Times New Roman" w:hAnsi="Times New Roman"/>
        </w:rPr>
        <w:tab/>
        <w:tab/>
      </w:r>
    </w:p>
    <w:p>
      <w:pPr>
        <w:pStyle w:val="WW-BodyText2"/>
        <w:rPr>
          <w:rFonts w:ascii="Times New Roman" w:hAnsi="Times New Roman" w:cs="Times New Roman"/>
        </w:rPr>
      </w:pPr>
      <w:r>
        <w:rPr>
          <w:rFonts w:cs="Times New Roman" w:ascii="Times New Roman" w:hAnsi="Times New Roman"/>
        </w:rPr>
        <w:tab/>
        <w:t xml:space="preserve">       Secondary Point/s - </w:t>
        <w:tab/>
        <w:t>into Koch Gateway</w:t>
      </w:r>
    </w:p>
    <w:p>
      <w:pPr>
        <w:pStyle w:val="WW-BodyText2"/>
        <w:rPr>
          <w:rFonts w:ascii="Times New Roman" w:hAnsi="Times New Roman" w:cs="Times New Roman"/>
        </w:rPr>
      </w:pPr>
      <w:r>
        <w:rPr>
          <w:rFonts w:cs="Times New Roman" w:ascii="Times New Roman" w:hAnsi="Times New Roman"/>
        </w:rPr>
        <w:tab/>
        <w:tab/>
        <w:tab/>
        <w:tab/>
        <w:tab/>
        <w:t>Into Lone Star Gas</w:t>
      </w:r>
    </w:p>
    <w:p>
      <w:pPr>
        <w:pStyle w:val="WW-BodyText2"/>
        <w:rPr>
          <w:rFonts w:ascii="Times New Roman" w:hAnsi="Times New Roman" w:cs="Times New Roman"/>
        </w:rPr>
      </w:pPr>
      <w:r>
        <w:rPr>
          <w:rFonts w:cs="Times New Roman" w:ascii="Times New Roman" w:hAnsi="Times New Roman"/>
        </w:rPr>
      </w:r>
    </w:p>
    <w:p>
      <w:pPr>
        <w:pStyle w:val="WW-BodyText2"/>
        <w:rPr>
          <w:rFonts w:ascii="Times New Roman" w:hAnsi="Times New Roman" w:cs="Times New Roman"/>
        </w:rPr>
      </w:pPr>
      <w:r>
        <w:rPr>
          <w:rFonts w:cs="Times New Roman" w:ascii="Times New Roman" w:hAnsi="Times New Roman"/>
        </w:rPr>
        <w:tab/>
      </w:r>
    </w:p>
    <w:p>
      <w:pPr>
        <w:pStyle w:val="WW-BodyText2"/>
        <w:rPr>
          <w:rFonts w:ascii="Times New Roman" w:hAnsi="Times New Roman" w:cs="Times New Roman"/>
        </w:rPr>
      </w:pPr>
      <w:r>
        <w:rPr>
          <w:rFonts w:cs="Times New Roman" w:ascii="Times New Roman" w:hAnsi="Times New Roman"/>
        </w:rPr>
        <w:tab/>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pStyle w:val="WW-BodyText2"/>
        <w:rPr>
          <w:rFonts w:ascii="Times New Roman" w:hAnsi="Times New Roman" w:cs="Times New Roman"/>
        </w:rPr>
      </w:pPr>
      <w:r>
        <w:rPr>
          <w:rFonts w:cs="Times New Roman" w:ascii="Times New Roman" w:hAnsi="Times New Roman"/>
        </w:rPr>
      </w:r>
    </w:p>
    <w:p>
      <w:pPr>
        <w:pStyle w:val="WW-BodyText2"/>
        <w:rPr>
          <w:rFonts w:ascii="Times New Roman" w:hAnsi="Times New Roman" w:cs="Times New Roman"/>
        </w:rPr>
      </w:pPr>
      <w:r>
        <w:rPr>
          <w:rFonts w:cs="Times New Roman" w:ascii="Times New Roman" w:hAnsi="Times New Roman"/>
        </w:rPr>
      </w:r>
    </w:p>
    <w:p>
      <w:pPr>
        <w:pStyle w:val="WW-BodyText2"/>
        <w:jc w:val="center"/>
        <w:rPr>
          <w:rFonts w:ascii="Times New Roman" w:hAnsi="Times New Roman" w:cs="Times New Roman"/>
          <w:b/>
          <w:bCs/>
        </w:rPr>
      </w:pPr>
      <w:r>
        <w:rPr>
          <w:rFonts w:cs="Times New Roman" w:ascii="Times New Roman" w:hAnsi="Times New Roman"/>
          <w:b/>
          <w:bCs/>
        </w:rPr>
        <w:t>EXHIBIT A</w:t>
      </w:r>
    </w:p>
    <w:p>
      <w:pPr>
        <w:pStyle w:val="WW-BodyText2"/>
        <w:jc w:val="center"/>
        <w:rPr>
          <w:rFonts w:ascii="Times New Roman" w:hAnsi="Times New Roman" w:cs="Times New Roman"/>
          <w:b/>
          <w:bCs/>
        </w:rPr>
      </w:pPr>
      <w:r>
        <w:rPr>
          <w:rFonts w:cs="Times New Roman" w:ascii="Times New Roman" w:hAnsi="Times New Roman"/>
          <w:b/>
          <w:bCs/>
        </w:rPr>
      </w:r>
    </w:p>
    <w:p>
      <w:pPr>
        <w:pStyle w:val="WW-BodyText2"/>
        <w:jc w:val="center"/>
        <w:rPr>
          <w:rFonts w:ascii="Times New Roman" w:hAnsi="Times New Roman" w:cs="Times New Roman"/>
          <w:b/>
          <w:bCs/>
        </w:rPr>
      </w:pPr>
      <w:r>
        <w:rPr>
          <w:rFonts w:cs="Times New Roman" w:ascii="Times New Roman" w:hAnsi="Times New Roman"/>
          <w:b/>
          <w:bCs/>
        </w:rPr>
      </w:r>
    </w:p>
    <w:p>
      <w:pPr>
        <w:pStyle w:val="WW-BodyText2"/>
        <w:jc w:val="center"/>
        <w:rPr>
          <w:rFonts w:ascii="Times New Roman" w:hAnsi="Times New Roman" w:cs="Times New Roman"/>
          <w:b/>
          <w:bCs/>
        </w:rPr>
      </w:pPr>
      <w:r>
        <w:rPr>
          <w:rFonts w:cs="Times New Roman" w:ascii="Times New Roman" w:hAnsi="Times New Roman"/>
          <w:b/>
          <w:bCs/>
        </w:rPr>
      </w:r>
    </w:p>
    <w:p>
      <w:pPr>
        <w:pStyle w:val="WW-BodyText2"/>
        <w:jc w:val="center"/>
        <w:rPr>
          <w:rFonts w:ascii="Times New Roman" w:hAnsi="Times New Roman" w:cs="Times New Roman"/>
          <w:b/>
          <w:bCs/>
        </w:rPr>
      </w:pPr>
      <w:r>
        <w:rPr>
          <w:rFonts w:cs="Times New Roman" w:ascii="Times New Roman" w:hAnsi="Times New Roman"/>
          <w:b/>
          <w:bCs/>
        </w:rPr>
      </w:r>
    </w:p>
    <w:p>
      <w:pPr>
        <w:pStyle w:val="WW-BodyText2"/>
        <w:rPr>
          <w:rFonts w:ascii="Times New Roman" w:hAnsi="Times New Roman" w:cs="Times New Roman"/>
          <w:b/>
          <w:bCs/>
        </w:rPr>
      </w:pPr>
      <w:r>
        <w:rPr>
          <w:rFonts w:cs="Times New Roman" w:ascii="Times New Roman" w:hAnsi="Times New Roman"/>
          <w:b/>
          <w:bCs/>
        </w:rPr>
        <w:tab/>
        <w:tab/>
        <w:tab/>
        <w:tab/>
        <w:t xml:space="preserve">HP-hour Charge     </w:t>
        <w:tab/>
        <w:tab/>
        <w:tab/>
      </w:r>
    </w:p>
    <w:p>
      <w:pPr>
        <w:pStyle w:val="WW-BodyText2"/>
        <w:jc w:val="center"/>
        <w:rPr>
          <w:rFonts w:ascii="Times New Roman" w:hAnsi="Times New Roman" w:cs="Times New Roman"/>
          <w:b/>
          <w:bCs/>
        </w:rPr>
      </w:pPr>
      <w:r>
        <w:rPr>
          <w:rFonts w:cs="Times New Roman" w:ascii="Times New Roman" w:hAnsi="Times New Roman"/>
          <w:b/>
          <w:bCs/>
        </w:rPr>
      </w:r>
    </w:p>
    <w:p>
      <w:pPr>
        <w:pStyle w:val="WW-BodyText2"/>
        <w:ind w:hanging="0" w:start="2160" w:end="0"/>
        <w:rPr>
          <w:rFonts w:ascii="Times New Roman" w:hAnsi="Times New Roman" w:cs="Times New Roman"/>
          <w:b/>
          <w:bCs/>
          <w:u w:val="single"/>
        </w:rPr>
      </w:pPr>
      <w:r>
        <w:rPr>
          <w:rFonts w:cs="Times New Roman" w:ascii="Times New Roman" w:hAnsi="Times New Roman"/>
          <w:b/>
          <w:bCs/>
          <w:u w:val="single"/>
        </w:rPr>
        <w:t>Month</w:t>
        <w:tab/>
        <w:t>`</w:t>
        <w:tab/>
        <w:t>Load Factor</w:t>
        <w:tab/>
        <w:tab/>
        <w:t>Monthly Nomination</w:t>
      </w:r>
    </w:p>
    <w:p>
      <w:pPr>
        <w:pStyle w:val="WW-BodyText2"/>
        <w:tabs>
          <w:tab w:val="clear" w:pos="720"/>
        </w:tabs>
        <w:ind w:hanging="0" w:start="2160" w:end="0"/>
        <w:jc w:val="start"/>
        <w:rPr>
          <w:rFonts w:ascii="Times New Roman" w:hAnsi="Times New Roman" w:cs="Times New Roman"/>
        </w:rPr>
      </w:pPr>
      <w:r>
        <w:rPr>
          <w:rFonts w:cs="Times New Roman" w:ascii="Times New Roman" w:hAnsi="Times New Roman"/>
        </w:rPr>
        <w:t>January</w:t>
        <w:tab/>
        <w:t xml:space="preserve">    90% </w:t>
        <w:tab/>
        <w:tab/>
        <w:t>1,514 MMBtu/day</w:t>
      </w:r>
    </w:p>
    <w:p>
      <w:pPr>
        <w:pStyle w:val="WW-BodyText2"/>
        <w:tabs>
          <w:tab w:val="clear" w:pos="720"/>
        </w:tabs>
        <w:ind w:hanging="0" w:start="2160" w:end="0"/>
        <w:jc w:val="start"/>
        <w:rPr>
          <w:rFonts w:ascii="Times New Roman" w:hAnsi="Times New Roman" w:cs="Times New Roman"/>
        </w:rPr>
      </w:pPr>
      <w:r>
        <w:rPr>
          <w:rFonts w:cs="Times New Roman" w:ascii="Times New Roman" w:hAnsi="Times New Roman"/>
        </w:rPr>
        <w:t>February</w:t>
        <w:tab/>
        <w:t xml:space="preserve">    90% </w:t>
        <w:tab/>
        <w:tab/>
        <w:t>1,514 MMBtu/day</w:t>
        <w:tab/>
        <w:tab/>
      </w:r>
    </w:p>
    <w:p>
      <w:pPr>
        <w:pStyle w:val="WW-BodyText2"/>
        <w:tabs>
          <w:tab w:val="clear" w:pos="720"/>
        </w:tabs>
        <w:ind w:hanging="0" w:start="2160" w:end="0"/>
        <w:jc w:val="start"/>
        <w:rPr>
          <w:rFonts w:ascii="Times New Roman" w:hAnsi="Times New Roman" w:cs="Times New Roman"/>
        </w:rPr>
      </w:pPr>
      <w:r>
        <w:rPr>
          <w:rFonts w:cs="Times New Roman" w:ascii="Times New Roman" w:hAnsi="Times New Roman"/>
        </w:rPr>
        <w:t>March</w:t>
        <w:tab/>
        <w:tab/>
        <w:t xml:space="preserve">    90% </w:t>
        <w:tab/>
        <w:tab/>
        <w:t>1,514 MMBtu/day</w:t>
        <w:tab/>
        <w:tab/>
      </w:r>
    </w:p>
    <w:p>
      <w:pPr>
        <w:pStyle w:val="WW-BodyText2"/>
        <w:tabs>
          <w:tab w:val="clear" w:pos="720"/>
        </w:tabs>
        <w:ind w:hanging="0" w:start="2160" w:end="0"/>
        <w:jc w:val="start"/>
        <w:rPr>
          <w:rFonts w:ascii="Times New Roman" w:hAnsi="Times New Roman" w:cs="Times New Roman"/>
        </w:rPr>
      </w:pPr>
      <w:r>
        <w:rPr>
          <w:rFonts w:cs="Times New Roman" w:ascii="Times New Roman" w:hAnsi="Times New Roman"/>
        </w:rPr>
        <w:t>April</w:t>
        <w:tab/>
        <w:tab/>
        <w:t xml:space="preserve">    90% </w:t>
        <w:tab/>
        <w:tab/>
        <w:t>1,514 MMBtu/day</w:t>
        <w:tab/>
        <w:tab/>
      </w:r>
    </w:p>
    <w:p>
      <w:pPr>
        <w:pStyle w:val="WW-BodyText2"/>
        <w:tabs>
          <w:tab w:val="clear" w:pos="720"/>
        </w:tabs>
        <w:ind w:hanging="0" w:start="2160" w:end="0"/>
        <w:jc w:val="start"/>
        <w:rPr>
          <w:rFonts w:ascii="Times New Roman" w:hAnsi="Times New Roman" w:cs="Times New Roman"/>
        </w:rPr>
      </w:pPr>
      <w:r>
        <w:rPr>
          <w:rFonts w:cs="Times New Roman" w:ascii="Times New Roman" w:hAnsi="Times New Roman"/>
        </w:rPr>
        <w:t>May</w:t>
        <w:tab/>
        <w:tab/>
        <w:t xml:space="preserve">    90% </w:t>
        <w:tab/>
        <w:tab/>
        <w:t>1,514 MMBtu/day</w:t>
        <w:tab/>
        <w:tab/>
      </w:r>
    </w:p>
    <w:p>
      <w:pPr>
        <w:pStyle w:val="WW-BodyText2"/>
        <w:tabs>
          <w:tab w:val="clear" w:pos="720"/>
        </w:tabs>
        <w:ind w:hanging="0" w:start="2160" w:end="0"/>
        <w:jc w:val="start"/>
        <w:rPr>
          <w:rFonts w:ascii="Times New Roman" w:hAnsi="Times New Roman" w:cs="Times New Roman"/>
        </w:rPr>
      </w:pPr>
      <w:r>
        <w:rPr>
          <w:rFonts w:cs="Times New Roman" w:ascii="Times New Roman" w:hAnsi="Times New Roman"/>
        </w:rPr>
        <w:t>June</w:t>
        <w:tab/>
        <w:tab/>
        <w:t xml:space="preserve">    90% </w:t>
        <w:tab/>
        <w:tab/>
        <w:t>1,514 MMBtu/day</w:t>
        <w:tab/>
        <w:tab/>
      </w:r>
    </w:p>
    <w:p>
      <w:pPr>
        <w:pStyle w:val="WW-BodyText2"/>
        <w:tabs>
          <w:tab w:val="clear" w:pos="720"/>
        </w:tabs>
        <w:ind w:hanging="0" w:start="2160" w:end="0"/>
        <w:jc w:val="start"/>
        <w:rPr>
          <w:rFonts w:ascii="Times New Roman" w:hAnsi="Times New Roman" w:cs="Times New Roman"/>
        </w:rPr>
      </w:pPr>
      <w:r>
        <w:rPr>
          <w:rFonts w:cs="Times New Roman" w:ascii="Times New Roman" w:hAnsi="Times New Roman"/>
        </w:rPr>
        <w:t>July</w:t>
        <w:tab/>
        <w:tab/>
        <w:t xml:space="preserve">    90% </w:t>
        <w:tab/>
        <w:tab/>
        <w:t>1,514 MMBtu/day</w:t>
        <w:tab/>
        <w:tab/>
      </w:r>
    </w:p>
    <w:p>
      <w:pPr>
        <w:pStyle w:val="WW-BodyText2"/>
        <w:tabs>
          <w:tab w:val="clear" w:pos="720"/>
        </w:tabs>
        <w:ind w:hanging="0" w:start="2160" w:end="0"/>
        <w:jc w:val="start"/>
        <w:rPr>
          <w:rFonts w:ascii="Times New Roman" w:hAnsi="Times New Roman" w:cs="Times New Roman"/>
        </w:rPr>
      </w:pPr>
      <w:r>
        <w:rPr>
          <w:rFonts w:cs="Times New Roman" w:ascii="Times New Roman" w:hAnsi="Times New Roman"/>
        </w:rPr>
        <w:t>August</w:t>
        <w:tab/>
        <w:tab/>
        <w:t xml:space="preserve">    90% </w:t>
        <w:tab/>
        <w:tab/>
        <w:t>1,514 MMBtu/day</w:t>
        <w:tab/>
        <w:tab/>
      </w:r>
    </w:p>
    <w:p>
      <w:pPr>
        <w:pStyle w:val="WW-BodyText2"/>
        <w:tabs>
          <w:tab w:val="clear" w:pos="720"/>
        </w:tabs>
        <w:ind w:hanging="0" w:start="2160" w:end="0"/>
        <w:jc w:val="start"/>
        <w:rPr>
          <w:rFonts w:ascii="Times New Roman" w:hAnsi="Times New Roman" w:cs="Times New Roman"/>
        </w:rPr>
      </w:pPr>
      <w:r>
        <w:rPr>
          <w:rFonts w:cs="Times New Roman" w:ascii="Times New Roman" w:hAnsi="Times New Roman"/>
        </w:rPr>
        <w:t>September</w:t>
        <w:tab/>
        <w:t xml:space="preserve">    90% </w:t>
        <w:tab/>
        <w:tab/>
        <w:t>1,514 MMBtu/day</w:t>
        <w:tab/>
        <w:tab/>
      </w:r>
    </w:p>
    <w:p>
      <w:pPr>
        <w:pStyle w:val="WW-BodyText2"/>
        <w:tabs>
          <w:tab w:val="clear" w:pos="720"/>
        </w:tabs>
        <w:ind w:hanging="0" w:start="2160" w:end="0"/>
        <w:jc w:val="start"/>
        <w:rPr>
          <w:rFonts w:ascii="Times New Roman" w:hAnsi="Times New Roman" w:cs="Times New Roman"/>
        </w:rPr>
      </w:pPr>
      <w:r>
        <w:rPr>
          <w:rFonts w:cs="Times New Roman" w:ascii="Times New Roman" w:hAnsi="Times New Roman"/>
        </w:rPr>
        <w:t>October</w:t>
        <w:tab/>
        <w:t xml:space="preserve">    90% </w:t>
        <w:tab/>
        <w:tab/>
        <w:t>1,514 MMBtu/day</w:t>
        <w:tab/>
        <w:tab/>
      </w:r>
    </w:p>
    <w:p>
      <w:pPr>
        <w:pStyle w:val="WW-BodyText2"/>
        <w:tabs>
          <w:tab w:val="clear" w:pos="720"/>
        </w:tabs>
        <w:ind w:hanging="0" w:start="2160" w:end="0"/>
        <w:jc w:val="start"/>
        <w:rPr>
          <w:rFonts w:ascii="Times New Roman" w:hAnsi="Times New Roman" w:cs="Times New Roman"/>
        </w:rPr>
      </w:pPr>
      <w:r>
        <w:rPr>
          <w:rFonts w:cs="Times New Roman" w:ascii="Times New Roman" w:hAnsi="Times New Roman"/>
        </w:rPr>
        <w:t>November</w:t>
        <w:tab/>
        <w:t xml:space="preserve">    90% </w:t>
        <w:tab/>
        <w:tab/>
        <w:t>1,514 MMBtu/day</w:t>
        <w:tab/>
        <w:tab/>
      </w:r>
    </w:p>
    <w:p>
      <w:pPr>
        <w:pStyle w:val="WW-BodyText2"/>
        <w:tabs>
          <w:tab w:val="clear" w:pos="720"/>
        </w:tabs>
        <w:ind w:hanging="0" w:start="2160" w:end="0"/>
        <w:jc w:val="start"/>
        <w:rPr>
          <w:rFonts w:ascii="Times New Roman" w:hAnsi="Times New Roman" w:cs="Times New Roman"/>
        </w:rPr>
      </w:pPr>
      <w:r>
        <w:rPr>
          <w:rFonts w:cs="Times New Roman" w:ascii="Times New Roman" w:hAnsi="Times New Roman"/>
        </w:rPr>
        <w:t>December</w:t>
        <w:tab/>
        <w:t xml:space="preserve">    90% </w:t>
        <w:tab/>
        <w:tab/>
        <w:t>1,514 MMBtu/day</w:t>
        <w:tab/>
        <w:tab/>
        <w:tab/>
      </w:r>
    </w:p>
    <w:p>
      <w:pPr>
        <w:pStyle w:val="WW-BodyText2"/>
        <w:tabs>
          <w:tab w:val="clear" w:pos="720"/>
        </w:tabs>
        <w:ind w:hanging="0" w:start="2160" w:end="0"/>
        <w:jc w:val="start"/>
        <w:rPr>
          <w:rFonts w:ascii="Times New Roman" w:hAnsi="Times New Roman" w:cs="Times New Roman"/>
          <w:b/>
          <w:bCs/>
        </w:rPr>
      </w:pPr>
      <w:r>
        <w:rPr>
          <w:rFonts w:cs="Times New Roman" w:ascii="Times New Roman" w:hAnsi="Times New Roman"/>
          <w:b/>
          <w:bCs/>
        </w:rPr>
        <w:tab/>
        <w:tab/>
      </w:r>
    </w:p>
    <w:p>
      <w:pPr>
        <w:pStyle w:val="WW-BodyText2"/>
        <w:jc w:val="start"/>
        <w:rPr>
          <w:rFonts w:ascii="Times New Roman" w:hAnsi="Times New Roman" w:cs="Times New Roman"/>
          <w:b/>
          <w:bCs/>
        </w:rPr>
      </w:pPr>
      <w:r>
        <w:rPr>
          <w:rFonts w:cs="Times New Roman" w:ascii="Times New Roman" w:hAnsi="Times New Roman"/>
          <w:b/>
          <w:bCs/>
        </w:rPr>
        <w:tab/>
      </w:r>
    </w:p>
    <w:p>
      <w:pPr>
        <w:pStyle w:val="WW-BodyText2"/>
        <w:jc w:val="start"/>
        <w:rPr>
          <w:rFonts w:ascii="Times New Roman" w:hAnsi="Times New Roman" w:cs="Times New Roman"/>
          <w:b/>
          <w:bCs/>
        </w:rPr>
      </w:pPr>
      <w:r>
        <w:rPr>
          <w:rFonts w:cs="Times New Roman" w:ascii="Times New Roman" w:hAnsi="Times New Roman"/>
          <w:b/>
          <w:bCs/>
        </w:rPr>
      </w:r>
    </w:p>
    <w:p>
      <w:pPr>
        <w:pStyle w:val="WW-BodyText2"/>
        <w:jc w:val="start"/>
        <w:rPr>
          <w:rFonts w:ascii="Times New Roman" w:hAnsi="Times New Roman" w:cs="Times New Roman"/>
          <w:b/>
          <w:bCs/>
        </w:rPr>
      </w:pPr>
      <w:r>
        <w:rPr>
          <w:rFonts w:cs="Times New Roman" w:ascii="Times New Roman" w:hAnsi="Times New Roman"/>
          <w:b/>
          <w:bCs/>
        </w:rPr>
      </w:r>
    </w:p>
    <w:p>
      <w:pPr>
        <w:pStyle w:val="WW-BodyText2"/>
        <w:jc w:val="start"/>
        <w:rPr>
          <w:rFonts w:ascii="Times New Roman" w:hAnsi="Times New Roman" w:cs="Times New Roman"/>
          <w:b/>
          <w:bCs/>
        </w:rPr>
      </w:pPr>
      <w:r>
        <w:rPr>
          <w:rFonts w:cs="Times New Roman" w:ascii="Times New Roman" w:hAnsi="Times New Roman"/>
          <w:b/>
          <w:bCs/>
        </w:rPr>
      </w:r>
    </w:p>
    <w:p>
      <w:pPr>
        <w:pStyle w:val="WW-BodyText2"/>
        <w:jc w:val="start"/>
        <w:rPr>
          <w:rFonts w:ascii="Times New Roman" w:hAnsi="Times New Roman" w:cs="Times New Roman"/>
          <w:b/>
          <w:bCs/>
        </w:rPr>
      </w:pPr>
      <w:r>
        <w:rPr>
          <w:rFonts w:cs="Times New Roman" w:ascii="Times New Roman" w:hAnsi="Times New Roman"/>
          <w:b/>
          <w:bCs/>
        </w:rPr>
      </w:r>
    </w:p>
    <w:p>
      <w:pPr>
        <w:pStyle w:val="WW-BodyText2"/>
        <w:jc w:val="start"/>
        <w:rPr>
          <w:rFonts w:ascii="Times New Roman" w:hAnsi="Times New Roman" w:cs="Times New Roman"/>
          <w:b/>
          <w:bCs/>
        </w:rPr>
      </w:pPr>
      <w:r>
        <w:rPr>
          <w:rFonts w:cs="Times New Roman" w:ascii="Times New Roman" w:hAnsi="Times New Roman"/>
          <w:b/>
          <w:bCs/>
        </w:rPr>
      </w:r>
    </w:p>
    <w:p>
      <w:pPr>
        <w:pStyle w:val="WW-BodyText2"/>
        <w:jc w:val="start"/>
        <w:rPr>
          <w:rFonts w:ascii="Times New Roman" w:hAnsi="Times New Roman" w:cs="Times New Roman"/>
          <w:b/>
          <w:bCs/>
        </w:rPr>
      </w:pPr>
      <w:r>
        <w:rPr>
          <w:rFonts w:cs="Times New Roman" w:ascii="Times New Roman" w:hAnsi="Times New Roman"/>
          <w:b/>
          <w:bCs/>
        </w:rPr>
      </w:r>
    </w:p>
    <w:p>
      <w:pPr>
        <w:pStyle w:val="WW-BodyText2"/>
        <w:jc w:val="start"/>
        <w:rPr>
          <w:rFonts w:ascii="Times New Roman" w:hAnsi="Times New Roman" w:cs="Times New Roman"/>
          <w:b/>
          <w:bCs/>
        </w:rPr>
      </w:pPr>
      <w:r>
        <w:rPr>
          <w:rFonts w:cs="Times New Roman" w:ascii="Times New Roman" w:hAnsi="Times New Roman"/>
          <w:b/>
          <w:bCs/>
        </w:rPr>
      </w:r>
    </w:p>
    <w:p>
      <w:pPr>
        <w:pStyle w:val="WW-BodyText2"/>
        <w:jc w:val="start"/>
        <w:rPr>
          <w:rFonts w:ascii="Times New Roman" w:hAnsi="Times New Roman" w:cs="Times New Roman"/>
          <w:b/>
          <w:bCs/>
        </w:rPr>
      </w:pPr>
      <w:r>
        <w:rPr>
          <w:rFonts w:cs="Times New Roman" w:ascii="Times New Roman" w:hAnsi="Times New Roman"/>
          <w:b/>
          <w:bCs/>
        </w:rPr>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extDirection w:val="lrTb"/>
          <w:docGrid w:type="default" w:linePitch="360" w:charSpace="0"/>
        </w:sectPr>
        <w:pStyle w:val="WW-BodyText2"/>
        <w:jc w:val="start"/>
        <w:rPr>
          <w:rFonts w:ascii="Times New Roman" w:hAnsi="Times New Roman" w:cs="Times New Roman"/>
          <w:b/>
          <w:bCs/>
        </w:rPr>
      </w:pPr>
      <w:r>
        <w:rPr>
          <w:rFonts w:cs="Times New Roman" w:ascii="Times New Roman" w:hAnsi="Times New Roman"/>
          <w:b/>
          <w:bCs/>
        </w:rPr>
      </w:r>
    </w:p>
    <w:p>
      <w:pPr>
        <w:pStyle w:val="WW-BodyText2"/>
        <w:jc w:val="start"/>
        <w:rPr>
          <w:rFonts w:ascii="Times New Roman" w:hAnsi="Times New Roman" w:cs="Times New Roman"/>
          <w:b/>
          <w:bCs/>
        </w:rPr>
      </w:pPr>
      <w:r>
        <w:rPr>
          <w:rFonts w:cs="Times New Roman" w:ascii="Times New Roman" w:hAnsi="Times New Roman"/>
          <w:b/>
          <w:bCs/>
        </w:rPr>
      </w:r>
    </w:p>
    <w:p>
      <w:pPr>
        <w:pStyle w:val="WW-BodyText2"/>
        <w:jc w:val="start"/>
        <w:rPr>
          <w:rFonts w:ascii="Times New Roman" w:hAnsi="Times New Roman" w:cs="Times New Roman"/>
        </w:rPr>
      </w:pPr>
      <w:r>
        <w:rPr>
          <w:rFonts w:cs="Times New Roman" w:ascii="Times New Roman" w:hAnsi="Times New Roman"/>
        </w:rPr>
      </w:r>
    </w:p>
    <w:p>
      <w:pPr>
        <w:pStyle w:val="WW-BodyText2"/>
        <w:jc w:val="start"/>
        <w:rPr>
          <w:rFonts w:ascii="Times New Roman" w:hAnsi="Times New Roman" w:cs="Times New Roman"/>
        </w:rPr>
      </w:pPr>
      <w:r>
        <w:rPr>
          <w:rFonts w:cs="Times New Roman" w:ascii="Times New Roman" w:hAnsi="Times New Roman"/>
        </w:rPr>
      </w:r>
    </w:p>
    <w:p>
      <w:pPr>
        <w:pStyle w:val="WW-BodyText2"/>
        <w:jc w:val="center"/>
        <w:rPr>
          <w:rFonts w:ascii="Times New Roman" w:hAnsi="Times New Roman" w:cs="Times New Roman"/>
          <w:b/>
        </w:rPr>
      </w:pPr>
      <w:r>
        <w:rPr>
          <w:rFonts w:cs="Times New Roman" w:ascii="Times New Roman" w:hAnsi="Times New Roman"/>
          <w:b/>
        </w:rPr>
        <w:t>EXHIBIT B</w:t>
      </w:r>
    </w:p>
    <w:p>
      <w:pPr>
        <w:pStyle w:val="WW-BodyText2"/>
        <w:jc w:val="center"/>
        <w:rPr>
          <w:rFonts w:ascii="Times New Roman" w:hAnsi="Times New Roman" w:cs="Times New Roman"/>
          <w:b/>
        </w:rPr>
      </w:pPr>
      <w:r>
        <w:rPr>
          <w:rFonts w:cs="Times New Roman" w:ascii="Times New Roman" w:hAnsi="Times New Roman"/>
          <w:b/>
        </w:rPr>
        <w:t>SUBSTATION, TRANSFORMER, AND TRANSMISSION LINE</w:t>
      </w:r>
    </w:p>
    <w:p>
      <w:pPr>
        <w:pStyle w:val="WW-BodyText2"/>
        <w:jc w:val="center"/>
        <w:rPr>
          <w:rFonts w:ascii="Times New Roman" w:hAnsi="Times New Roman" w:cs="Times New Roman"/>
          <w:b/>
        </w:rPr>
      </w:pPr>
      <w:r>
        <w:rPr>
          <w:rFonts w:cs="Times New Roman" w:ascii="Times New Roman" w:hAnsi="Times New Roman"/>
          <w:b/>
        </w:rPr>
        <w:t>PAYOUT SCHEDULE</w:t>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jc w:val="end"/>
        <w:rPr>
          <w:rFonts w:ascii="Times New Roman" w:hAnsi="Times New Roman" w:cs="Times New Roman"/>
          <w:b/>
        </w:rPr>
      </w:pPr>
      <w:r>
        <w:rPr>
          <w:rFonts w:cs="Times New Roman" w:ascii="Times New Roman" w:hAnsi="Times New Roman"/>
          <w:b/>
        </w:rPr>
      </w:r>
    </w:p>
    <w:p>
      <w:pPr>
        <w:pStyle w:val="WW-BodyText2"/>
        <w:rPr>
          <w:rFonts w:ascii="Times New Roman" w:hAnsi="Times New Roman" w:cs="Times New Roman"/>
          <w:b/>
        </w:rPr>
      </w:pPr>
      <w:r>
        <w:rPr>
          <w:rFonts w:cs="Times New Roman" w:ascii="Times New Roman" w:hAnsi="Times New Roman"/>
          <w:b/>
        </w:rPr>
      </w:r>
    </w:p>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t>Gnemec\Compression Services\Customer\</w:t>
    </w: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Oakhill_CSA2.doc</w:t>
    </w:r>
    <w:r>
      <w:rPr>
        <w:sz w:val="16"/>
        <w:rFonts w:cs="Times New Roman" w:ascii="Times New Roman" w:hAnsi="Times New Roman"/>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14</w:t>
    </w:r>
    <w:r>
      <w:rPr>
        <w:rStyle w:val="PageNumber"/>
        <w:sz w:val="24"/>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Gnemec\Compression Services\Customer\</w:t>
    </w: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Oakhill_CSA2.doc</w:t>
    </w:r>
    <w:r>
      <w:rPr>
        <w:sz w:val="16"/>
        <w:rFonts w:cs="Times New Roman" w:ascii="Times New Roman" w:hAnsi="Times New Roman"/>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15</w:t>
    </w:r>
    <w:r>
      <w:rPr>
        <w:rStyle w:val="PageNumber"/>
        <w:sz w:val="24"/>
        <w:rFonts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Gnemec\Compression Services\Customer\</w:t>
    </w: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Oakhill_CSA2.doc</w:t>
    </w:r>
    <w:r>
      <w:rPr>
        <w:sz w:val="16"/>
        <w:rFonts w:cs="Times New Roman" w:ascii="Times New Roman" w:hAnsi="Times New Roman"/>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16</w:t>
    </w:r>
    <w:r>
      <w:rPr>
        <w:rStyle w:val="PageNumber"/>
        <w:sz w:val="24"/>
        <w:rFonts w:cs="Times New Roman" w:ascii="Times New Roman" w:hAnsi="Times New Roman"/>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Gnemec\Compression Services\Customer\</w:t>
    </w: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Oakhill_CSA2.doc</w:t>
    </w:r>
    <w:r>
      <w:rPr>
        <w:sz w:val="16"/>
        <w:rFonts w:cs="Times New Roman" w:ascii="Times New Roman" w:hAnsi="Times New Roman"/>
      </w:rPr>
      <w:fldChar w:fldCharType="end"/>
    </w:r>
  </w:p>
  <w:p>
    <w:pPr>
      <w:pStyle w:val="Footer"/>
      <w:rPr/>
    </w:pP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17</w:t>
    </w:r>
    <w:r>
      <w:rPr>
        <w:rStyle w:val="PageNumber"/>
        <w:sz w:val="24"/>
        <w:rFonts w:cs="Times New Roman" w:ascii="Times New Roman" w:hAnsi="Times New Roman"/>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sz w:val="28"/>
      </w:rPr>
    </w:pPr>
    <w:r>
      <w:rPr>
        <w:b/>
        <w:bCs/>
        <w:sz w:val="28"/>
      </w:rPr>
      <w:t>DRAFT 6/2/01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sz w:val="28"/>
      </w:rPr>
    </w:pPr>
    <w:r>
      <w:rPr>
        <w:b/>
        <w:bCs/>
        <w:sz w:val="28"/>
      </w:rPr>
      <w:t>DRAFT 6/2/01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sz w:val="28"/>
      </w:rPr>
    </w:pPr>
    <w:r>
      <w:rPr>
        <w:b/>
        <w:bCs/>
        <w:sz w:val="28"/>
      </w:rPr>
      <w:t>DRAFT 6/2/01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sz w:val="28"/>
      </w:rPr>
    </w:pPr>
    <w:r>
      <w:rPr>
        <w:b/>
        <w:bCs/>
        <w:sz w:val="28"/>
      </w:rPr>
      <w:t>DRAFT 6/2/01</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30"/>
        </w:tabs>
        <w:ind w:start="1830" w:hanging="1110"/>
      </w:pPr>
      <w:rPr>
        <w:b/>
      </w:rPr>
    </w:lvl>
  </w:abstractNum>
  <w:abstractNum w:abstractNumId="3">
    <w:lvl w:ilvl="0">
      <w:start w:val="1"/>
      <w:numFmt w:val="lowerLetter"/>
      <w:lvlText w:val="(%1)"/>
      <w:lvlJc w:val="start"/>
      <w:pPr>
        <w:tabs>
          <w:tab w:val="num" w:pos="1350"/>
        </w:tabs>
        <w:ind w:start="135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erif" w:hAnsi="MS Serif" w:eastAsia="Times New Roman" w:cs="MS Serif"/>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sz w:val="24"/>
    </w:rPr>
  </w:style>
  <w:style w:type="paragraph" w:styleId="Heading2">
    <w:name w:val="heading 2"/>
    <w:basedOn w:val="Normal"/>
    <w:next w:val="Normal"/>
    <w:qFormat/>
    <w:pPr>
      <w:keepNext w:val="true"/>
      <w:numPr>
        <w:ilvl w:val="1"/>
        <w:numId w:val="1"/>
      </w:numPr>
      <w:tabs>
        <w:tab w:val="clear" w:pos="720"/>
        <w:tab w:val="left" w:pos="2880" w:leader="none"/>
      </w:tabs>
      <w:ind w:hanging="0" w:start="2880" w:end="0"/>
      <w:outlineLvl w:val="1"/>
    </w:pPr>
    <w:rPr>
      <w:rFonts w:ascii="Times New Roman" w:hAnsi="Times New Roman" w:cs="Times New Roman"/>
      <w:sz w:val="24"/>
    </w:rPr>
  </w:style>
  <w:style w:type="paragraph" w:styleId="Heading3">
    <w:name w:val="heading 3"/>
    <w:basedOn w:val="Normal"/>
    <w:next w:val="Normal"/>
    <w:qFormat/>
    <w:pPr>
      <w:keepNext w:val="true"/>
      <w:numPr>
        <w:ilvl w:val="2"/>
        <w:numId w:val="1"/>
      </w:numPr>
      <w:tabs>
        <w:tab w:val="left" w:pos="720" w:leader="none"/>
      </w:tabs>
      <w:jc w:val="center"/>
      <w:outlineLvl w:val="2"/>
    </w:pPr>
    <w:rPr>
      <w:rFonts w:ascii="Times New Roman" w:hAnsi="Times New Roman" w:cs="Times New Roman"/>
      <w:b/>
      <w:sz w:val="24"/>
    </w:rPr>
  </w:style>
  <w:style w:type="paragraph" w:styleId="Heading4">
    <w:name w:val="heading 4"/>
    <w:basedOn w:val="Normal"/>
    <w:next w:val="Normal"/>
    <w:qFormat/>
    <w:pPr>
      <w:keepNext w:val="true"/>
      <w:numPr>
        <w:ilvl w:val="3"/>
        <w:numId w:val="1"/>
      </w:numPr>
      <w:outlineLvl w:val="3"/>
    </w:pPr>
    <w:rPr>
      <w:rFonts w:ascii="Times New Roman" w:hAnsi="Times New Roman" w:cs="Times New Roman"/>
      <w:sz w:val="24"/>
    </w:rPr>
  </w:style>
  <w:style w:type="paragraph" w:styleId="Heading5">
    <w:name w:val="heading 5"/>
    <w:basedOn w:val="Normal"/>
    <w:next w:val="Normal"/>
    <w:qFormat/>
    <w:pPr>
      <w:keepNext w:val="true"/>
      <w:numPr>
        <w:ilvl w:val="4"/>
        <w:numId w:val="1"/>
      </w:numPr>
      <w:outlineLvl w:val="4"/>
    </w:pPr>
    <w:rPr>
      <w:rFonts w:ascii="Times New Roman" w:hAnsi="Times New Roman" w:cs="Times New Roman"/>
      <w:b/>
      <w:sz w:val="24"/>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4"/>
    </w:rPr>
  </w:style>
  <w:style w:type="paragraph" w:styleId="BodyText">
    <w:name w:val="Body Text"/>
    <w:basedOn w:val="Normal"/>
    <w:pPr>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left" w:pos="720" w:leader="none"/>
      </w:tabs>
      <w:ind w:firstLine="720" w:start="0" w:end="0"/>
      <w:jc w:val="both"/>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WW-BodyText2">
    <w:name w:val="WW-Body Text 2"/>
    <w:basedOn w:val="Normal"/>
    <w:qFormat/>
    <w:pPr>
      <w:tabs>
        <w:tab w:val="left" w:pos="720" w:leader="none"/>
      </w:tabs>
      <w:ind w:firstLine="720" w:start="0" w:end="0"/>
      <w:jc w:val="both"/>
    </w:pPr>
    <w:rPr>
      <w:sz w:val="24"/>
    </w:rPr>
  </w:style>
  <w:style w:type="paragraph" w:styleId="BodyTextIndent2">
    <w:name w:val="Body Text Indent 2"/>
    <w:basedOn w:val="Normal"/>
    <w:qFormat/>
    <w:pPr>
      <w:tabs>
        <w:tab w:val="clear" w:pos="720"/>
        <w:tab w:val="left" w:pos="1440" w:leader="none"/>
      </w:tabs>
      <w:ind w:hanging="720" w:start="1440" w:end="0"/>
      <w:jc w:val="both"/>
    </w:pPr>
    <w:rPr>
      <w:rFonts w:ascii="Times New Roman" w:hAnsi="Times New Roman" w:cs="Times New Roman"/>
      <w:sz w:val="24"/>
    </w:rPr>
  </w:style>
  <w:style w:type="paragraph" w:styleId="BodyTextIndent">
    <w:name w:val="Body Text Indent"/>
    <w:basedOn w:val="Normal"/>
    <w:pPr>
      <w:widowControl w:val="false"/>
      <w:ind w:hanging="0" w:start="720" w:end="0"/>
      <w:jc w:val="both"/>
    </w:pPr>
    <w:rPr>
      <w:rFonts w:ascii="Times New Roman" w:hAnsi="Times New Roman" w:cs="Times New Roman"/>
      <w:sz w:val="24"/>
    </w:rPr>
  </w:style>
  <w:style w:type="paragraph" w:styleId="BodyTextIndent3">
    <w:name w:val="Body Text Indent 3"/>
    <w:basedOn w:val="Normal"/>
    <w:qFormat/>
    <w:pPr>
      <w:tabs>
        <w:tab w:val="left" w:pos="720" w:leader="none"/>
      </w:tabs>
      <w:ind w:firstLine="720" w:start="0" w:end="0"/>
      <w:jc w:val="both"/>
    </w:pPr>
    <w:rPr>
      <w:rFonts w:ascii="Times New Roman" w:hAnsi="Times New Roman" w:cs="Times New Roman"/>
      <w:sz w:val="24"/>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2001-06-13T15:48:00Z</dcterms:created>
  <dc:creator>ET&amp;S LAN Support</dc:creator>
  <dc:description/>
  <dc:language>en-CA</dc:language>
  <cp:lastModifiedBy>mknippa</cp:lastModifiedBy>
  <cp:lastPrinted>2001-06-13T11:40:00Z</cp:lastPrinted>
  <dcterms:modified xsi:type="dcterms:W3CDTF">2001-06-13T15:50:00Z</dcterms:modified>
  <cp:revision>3</cp:revision>
  <dc:subject/>
  <dc:title>COMPRESSION SERVICES AGREEMENT</dc:title>
</cp:coreProperties>
</file>