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OPERATIONS AND MAINTENANCE AGREEMENT</w:t>
      </w:r>
    </w:p>
    <w:p>
      <w:pPr>
        <w:pStyle w:val="Normal"/>
        <w:widowControl/>
        <w:jc w:val="center"/>
        <w:rPr>
          <w:b/>
        </w:rPr>
      </w:pPr>
      <w:r>
        <w:rPr>
          <w:b/>
        </w:rPr>
        <w:t>(BISTI)</w:t>
      </w:r>
    </w:p>
    <w:p>
      <w:pPr>
        <w:pStyle w:val="Header"/>
        <w:widowControl/>
        <w:tabs>
          <w:tab w:val="clear" w:pos="4320"/>
          <w:tab w:val="clear" w:pos="8640"/>
        </w:tabs>
        <w:rPr>
          <w:b/>
        </w:rPr>
      </w:pPr>
      <w:r>
        <w:rPr>
          <w:b/>
        </w:rPr>
      </w:r>
    </w:p>
    <w:p>
      <w:pPr>
        <w:pStyle w:val="Normal"/>
        <w:widowControl/>
        <w:rPr/>
      </w:pPr>
      <w:r>
        <w:rPr/>
        <w:tab/>
        <w:t>WHEREAS, ENRON CAPITAL &amp; TRADE RESOURCES CORP. ("</w:t>
      </w:r>
      <w:r>
        <w:rPr>
          <w:u w:val="single"/>
        </w:rPr>
        <w:t>Owner</w:t>
      </w:r>
      <w:r>
        <w:rPr/>
        <w:t>") and TRANSWESTERN PIPELINE COMPANY ("</w:t>
      </w:r>
      <w:r>
        <w:rPr>
          <w:u w:val="single"/>
        </w:rPr>
        <w:t>Operator</w:t>
      </w:r>
      <w:r>
        <w:rPr/>
        <w:t>") have entered into that certain Operations and Maintenance Agreement (Bisti) (the "</w:t>
      </w:r>
      <w:r>
        <w:rPr>
          <w:u w:val="single"/>
        </w:rPr>
        <w:t>Agreement</w:t>
      </w:r>
      <w:r>
        <w:rPr/>
        <w:t>") dated September 9, 1996, governing Operator's provision of operations and maintenance services for Owner's electric motor driver equipment at Operator's Bisti Compressor Station; and</w:t>
      </w:r>
    </w:p>
    <w:p>
      <w:pPr>
        <w:pStyle w:val="Normal"/>
        <w:widowControl/>
        <w:rPr/>
      </w:pPr>
      <w:r>
        <w:rPr/>
      </w:r>
    </w:p>
    <w:p>
      <w:pPr>
        <w:pStyle w:val="Normal"/>
        <w:widowControl/>
        <w:rPr/>
      </w:pPr>
      <w:r>
        <w:rPr/>
        <w:tab/>
        <w:t>WHEREAS, Owner and Operator desire to enter into this Amendment to the Agreement (this "</w:t>
      </w:r>
      <w:r>
        <w:rPr>
          <w:u w:val="single"/>
        </w:rPr>
        <w:t>Amendment</w:t>
      </w:r>
      <w:r>
        <w:rPr/>
        <w:t>") effective as of June ____, 1999 (the "</w:t>
      </w:r>
      <w:r>
        <w:rPr>
          <w:u w:val="single"/>
        </w:rPr>
        <w:t>Effective Date</w:t>
      </w:r>
      <w:r>
        <w:rPr/>
        <w:t>").</w:t>
      </w:r>
    </w:p>
    <w:p>
      <w:pPr>
        <w:pStyle w:val="Normal"/>
        <w:widowControl/>
        <w:rPr/>
      </w:pPr>
      <w:r>
        <w:rPr/>
      </w:r>
    </w:p>
    <w:p>
      <w:pPr>
        <w:pStyle w:val="Normal"/>
        <w:widowControl/>
        <w:rPr/>
      </w:pPr>
      <w:r>
        <w:rPr/>
        <w:tab/>
        <w:t>NOW, THEREFORE, Owner and Operator, in consideration of the mutual benefits to be derived hereunder, as of the Effective Date do hereby agree as follows:</w:t>
      </w:r>
    </w:p>
    <w:p>
      <w:pPr>
        <w:pStyle w:val="Normal"/>
        <w:widowControl/>
        <w:rPr/>
      </w:pPr>
      <w:r>
        <w:rPr/>
      </w:r>
    </w:p>
    <w:p>
      <w:pPr>
        <w:pStyle w:val="Normal"/>
        <w:widowControl/>
        <w:numPr>
          <w:ilvl w:val="0"/>
          <w:numId w:val="6"/>
        </w:numPr>
        <w:tabs>
          <w:tab w:val="clear" w:pos="720"/>
          <w:tab w:val="left" w:pos="630" w:leader="none"/>
        </w:tabs>
        <w:ind w:hanging="630" w:start="630" w:end="0"/>
        <w:rPr/>
      </w:pPr>
      <w:r>
        <w:rPr/>
        <w:t>Article 1. "</w:t>
      </w:r>
      <w:r>
        <w:rPr>
          <w:u w:val="single"/>
        </w:rPr>
        <w:t>Definitions</w:t>
      </w:r>
      <w:r>
        <w:rPr/>
        <w:t>", of the Agreement is hereby amended and restated by deleting it in its entirety and replacing it with the following:</w:t>
      </w:r>
    </w:p>
    <w:p>
      <w:pPr>
        <w:pStyle w:val="Normal"/>
        <w:widowControl/>
        <w:rPr/>
      </w:pPr>
      <w:r>
        <w:rPr/>
      </w:r>
    </w:p>
    <w:p>
      <w:pPr>
        <w:pStyle w:val="BodyText"/>
        <w:ind w:start="630" w:end="0"/>
        <w:jc w:val="both"/>
        <w:rPr/>
      </w:pPr>
      <w:r>
        <w:rPr/>
        <w:t>"As used in this Agreement, the above terms shall have the above meanings and the following terms shall have the meanings set forth below.  All references herein to laws shall include such laws, as amended and in effect from time to time, including successor legislations thereof, and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rPr/>
      </w:pPr>
      <w:r>
        <w:rPr/>
      </w:r>
    </w:p>
    <w:p>
      <w:pPr>
        <w:pStyle w:val="BodyTextIndent3"/>
        <w:rPr/>
      </w:pPr>
      <w:r>
        <w:rPr/>
        <w:tab/>
        <w:tab/>
        <w:tab/>
        <w:t>1.1</w:t>
        <w:tab/>
        <w:t>"Annual Capital Budget" is defined in Section 2.2 of this Agreement.</w:t>
      </w:r>
    </w:p>
    <w:p>
      <w:pPr>
        <w:pStyle w:val="BodyTextIndent3"/>
        <w:rPr/>
      </w:pPr>
      <w:r>
        <w:rPr/>
      </w:r>
    </w:p>
    <w:p>
      <w:pPr>
        <w:pStyle w:val="BodyTextIndent3"/>
        <w:rPr/>
      </w:pPr>
      <w:r>
        <w:rPr/>
        <w:tab/>
        <w:tab/>
        <w:tab/>
        <w:t>1.2</w:t>
        <w:tab/>
        <w:t>"Bloomfield Compressor Motor Facilties" means the electric motors, variable speed drives, gear boxes and certain other equipment and facilities, including electrical substations located at Operator's Bloomfield Compressor Station, all as more particularly described on Exhibit “A” of the Bloomfield Operating Agreement.</w:t>
      </w:r>
    </w:p>
    <w:p>
      <w:pPr>
        <w:pStyle w:val="BodyTextIndent3"/>
        <w:rPr/>
      </w:pPr>
      <w:r>
        <w:rPr/>
      </w:r>
    </w:p>
    <w:p>
      <w:pPr>
        <w:pStyle w:val="BodyTextIndent3"/>
        <w:rPr/>
      </w:pPr>
      <w:r>
        <w:rPr/>
        <w:tab/>
        <w:tab/>
        <w:tab/>
        <w:t>1.3</w:t>
        <w:tab/>
        <w:t>"Bloomfield Compression Services Agreement"  shall mean that certain Compression Services Agreement (Bloomfield Compressor Station) dated as of March 31, 1999 by and between Owner and Operator.</w:t>
      </w:r>
    </w:p>
    <w:p>
      <w:pPr>
        <w:pStyle w:val="BodyTextIndent3"/>
        <w:rPr/>
      </w:pPr>
      <w:r>
        <w:rPr/>
      </w:r>
    </w:p>
    <w:p>
      <w:pPr>
        <w:pStyle w:val="Normal"/>
        <w:ind w:firstLine="720" w:start="720" w:end="0"/>
        <w:rPr/>
      </w:pPr>
      <w:r>
        <w:rPr/>
        <w:t>1.4</w:t>
        <w:tab/>
        <w:t>"Bloomfield Operating Agreement" shall mean that certain Operations and Maintenance Agreement (Bloomfield) between Owner and Operator dated September 9, 1996.</w:t>
      </w:r>
    </w:p>
    <w:p>
      <w:pPr>
        <w:pStyle w:val="Normal"/>
        <w:rPr/>
      </w:pPr>
      <w:r>
        <w:rPr/>
      </w:r>
    </w:p>
    <w:p>
      <w:pPr>
        <w:pStyle w:val="BodyTextIndent3"/>
        <w:rPr/>
      </w:pPr>
      <w:r>
        <w:rPr/>
        <w:tab/>
        <w:tab/>
        <w:tab/>
        <w:t>1.5</w:t>
        <w:tab/>
        <w:t>"Compressor Motor Facilities" means the electric motors, variable speed drives, gear boxes and certain other equipment and facilities, including electrical substations located at Operator's Bisti Compressor Station, all as more particularly described on Exhibit “A” attached hereto and made a part hereof.</w:t>
      </w:r>
    </w:p>
    <w:p>
      <w:pPr>
        <w:pStyle w:val="Normal"/>
        <w:rPr/>
      </w:pPr>
      <w:r>
        <w:rPr/>
      </w:r>
    </w:p>
    <w:p>
      <w:pPr>
        <w:pStyle w:val="BodyTextIndent3"/>
        <w:rPr/>
      </w:pPr>
      <w:r>
        <w:rPr/>
        <w:tab/>
        <w:tab/>
        <w:tab/>
        <w:t>1.6</w:t>
        <w:tab/>
        <w:t>"Compression Services Agreement" means that certain Compression Services Agreement (Bisti Compressor Station) dated as of March 31, 1999 by and between Owner and Operator.</w:t>
      </w:r>
    </w:p>
    <w:p>
      <w:pPr>
        <w:pStyle w:val="Normal"/>
        <w:rPr/>
      </w:pPr>
      <w:r>
        <w:rPr/>
      </w:r>
    </w:p>
    <w:p>
      <w:pPr>
        <w:pStyle w:val="BodyTextIndent3"/>
        <w:rPr/>
      </w:pPr>
      <w:r>
        <w:rPr/>
        <w:tab/>
        <w:tab/>
        <w:tab/>
        <w:t>1.7</w:t>
        <w:tab/>
        <w:t>"Contract Year" means a 12-month period from the Start Date to the day immediately preceding the first anniversary of the Start Date, and each 12-month period thereafter, until the termination of this Agreement.</w:t>
      </w:r>
    </w:p>
    <w:p>
      <w:pPr>
        <w:pStyle w:val="Normal"/>
        <w:rPr/>
      </w:pPr>
      <w:r>
        <w:rPr/>
      </w:r>
    </w:p>
    <w:p>
      <w:pPr>
        <w:pStyle w:val="BodyTextIndent3"/>
        <w:rPr/>
      </w:pPr>
      <w:r>
        <w:rPr/>
        <w:tab/>
        <w:tab/>
        <w:tab/>
        <w:t>1.8</w:t>
        <w:tab/>
        <w:t>"Good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rPr/>
      </w:pPr>
      <w:r>
        <w:rPr/>
      </w:r>
    </w:p>
    <w:p>
      <w:pPr>
        <w:pStyle w:val="Normal"/>
        <w:rPr/>
      </w:pPr>
      <w:r>
        <w:rPr/>
        <w:tab/>
        <w:tab/>
        <w:t>1.9</w:t>
        <w:tab/>
        <w:t>"HP Capacity" is defined in the Compression Services Agreement.</w:t>
      </w:r>
    </w:p>
    <w:p>
      <w:pPr>
        <w:pStyle w:val="Normal"/>
        <w:rPr/>
      </w:pPr>
      <w:r>
        <w:rPr/>
      </w:r>
    </w:p>
    <w:p>
      <w:pPr>
        <w:pStyle w:val="Normal"/>
        <w:ind w:firstLine="720" w:start="720" w:end="0"/>
        <w:rPr/>
      </w:pPr>
      <w:r>
        <w:rPr/>
        <w:t>2.0</w:t>
        <w:tab/>
        <w:t>"HP-hour" is defined in the Compression Services Agreement.</w:t>
      </w:r>
    </w:p>
    <w:p>
      <w:pPr>
        <w:pStyle w:val="Normal"/>
        <w:rPr/>
      </w:pPr>
      <w:r>
        <w:rPr/>
      </w:r>
    </w:p>
    <w:p>
      <w:pPr>
        <w:pStyle w:val="Normal"/>
        <w:ind w:firstLine="720" w:start="720" w:end="0"/>
        <w:rPr/>
      </w:pPr>
      <w:r>
        <w:rPr/>
        <w:t>2.1</w:t>
        <w:tab/>
        <w:t>"Load Factor" shall mean the Total Shaft Energy divided by the Total Monthly Contract Quantity, with the resulting quotient rounded up to the nearest 0.01."</w:t>
      </w:r>
    </w:p>
    <w:p>
      <w:pPr>
        <w:pStyle w:val="Normal"/>
        <w:rPr/>
      </w:pPr>
      <w:r>
        <w:rPr/>
      </w:r>
    </w:p>
    <w:p>
      <w:pPr>
        <w:pStyle w:val="Normal"/>
        <w:widowControl/>
        <w:ind w:firstLine="720" w:start="720" w:end="0"/>
        <w:rPr/>
      </w:pPr>
      <w:r>
        <w:rPr/>
        <w:t>2.2</w:t>
        <w:tab/>
        <w:t>"O&amp;M Conversion Factor" shall mean the factor derived from the table set forth in Exhibit "B" based on a corresponding Load Factor.</w:t>
      </w:r>
    </w:p>
    <w:p>
      <w:pPr>
        <w:pStyle w:val="Normal"/>
        <w:widowControl/>
        <w:ind w:firstLine="720" w:start="720" w:end="0"/>
        <w:rPr/>
      </w:pPr>
      <w:r>
        <w:rPr/>
      </w:r>
    </w:p>
    <w:p>
      <w:pPr>
        <w:pStyle w:val="BodyTextIndent3"/>
        <w:numPr>
          <w:ilvl w:val="1"/>
          <w:numId w:val="5"/>
        </w:numPr>
        <w:tabs>
          <w:tab w:val="clear" w:pos="720"/>
          <w:tab w:val="left" w:pos="2160" w:leader="none"/>
        </w:tabs>
        <w:ind w:hanging="720" w:start="2160" w:end="0"/>
        <w:rPr/>
      </w:pPr>
      <w:r>
        <w:rPr/>
        <w:t>"Start Date" means November 1, 1996</w:t>
      </w:r>
    </w:p>
    <w:p>
      <w:pPr>
        <w:pStyle w:val="Normal"/>
        <w:rPr/>
      </w:pPr>
      <w:r>
        <w:rPr/>
      </w:r>
    </w:p>
    <w:p>
      <w:pPr>
        <w:pStyle w:val="Normal"/>
        <w:ind w:firstLine="810" w:start="630" w:end="0"/>
        <w:rPr/>
      </w:pPr>
      <w:r>
        <w:rPr/>
        <w:t>2.4</w:t>
        <w:tab/>
        <w:t>"Total Monthly Contract Quantity" shall mean the 17,000 HP-hours per hour multiplied by the number of hours in the applicable month.</w:t>
      </w:r>
    </w:p>
    <w:p>
      <w:pPr>
        <w:pStyle w:val="Normal"/>
        <w:rPr/>
      </w:pPr>
      <w:r>
        <w:rPr/>
      </w:r>
    </w:p>
    <w:p>
      <w:pPr>
        <w:pStyle w:val="BodyTextIndent3"/>
        <w:rPr/>
      </w:pPr>
      <w:r>
        <w:rPr/>
        <w:tab/>
        <w:tab/>
        <w:tab/>
        <w:t>2.5</w:t>
        <w:tab/>
        <w:t>"Total Shaft Energy" shall mean the total amount of energy, measured in HP-hours, actually produced by the Compressor Motor Facilities (calculated in accordance with Section 3.2(b) of the Compression Services Agreement) plus the total amount of energy, measured in HP-hours, actually produced by the Bloomfield Compressor Motor Facilities (calculated in accordance with Section 3.2(b) of the Bloomfield Compression Services Agreement) in any applicable month.</w:t>
      </w:r>
    </w:p>
    <w:p>
      <w:pPr>
        <w:pStyle w:val="Normal"/>
        <w:rPr/>
      </w:pPr>
      <w:r>
        <w:rPr/>
      </w:r>
    </w:p>
    <w:p>
      <w:pPr>
        <w:pStyle w:val="Normal"/>
        <w:ind w:firstLine="810" w:start="630" w:end="0"/>
        <w:rPr/>
      </w:pPr>
      <w:r>
        <w:rPr/>
        <w:t>2.6</w:t>
        <w:tab/>
        <w:t>"Test Date" means the day after energy is first able to be provided to the Compressor Station.</w:t>
      </w:r>
    </w:p>
    <w:p>
      <w:pPr>
        <w:pStyle w:val="Normal"/>
        <w:widowControl/>
        <w:rPr/>
      </w:pPr>
      <w:r>
        <w:rPr/>
      </w:r>
    </w:p>
    <w:p>
      <w:pPr>
        <w:pStyle w:val="Normal"/>
        <w:widowControl/>
        <w:rPr/>
      </w:pPr>
      <w:r>
        <w:rPr/>
      </w:r>
    </w:p>
    <w:p>
      <w:pPr>
        <w:pStyle w:val="Normal"/>
        <w:widowControl/>
        <w:numPr>
          <w:ilvl w:val="0"/>
          <w:numId w:val="4"/>
        </w:numPr>
        <w:ind w:hanging="630" w:start="630" w:end="0"/>
        <w:rPr/>
      </w:pPr>
      <w:r>
        <w:rPr/>
        <w:t>Article 3. "</w:t>
      </w:r>
      <w:r>
        <w:rPr>
          <w:u w:val="single"/>
        </w:rPr>
        <w:t>Annual Operating and Maintenance Fee</w:t>
      </w:r>
      <w:r>
        <w:rPr/>
        <w:t>", of the Agreement is hereby amended and restated by deleting it in its entirety and replacing it with the following:</w:t>
      </w:r>
    </w:p>
    <w:p>
      <w:pPr>
        <w:pStyle w:val="Normal"/>
        <w:widowControl/>
        <w:rPr/>
      </w:pPr>
      <w:r>
        <w:rPr/>
      </w:r>
    </w:p>
    <w:p>
      <w:pPr>
        <w:pStyle w:val="BodyText2"/>
        <w:ind w:firstLine="720" w:start="0" w:end="0"/>
        <w:jc w:val="center"/>
        <w:rPr>
          <w:b/>
        </w:rPr>
      </w:pPr>
      <w:r>
        <w:rPr>
          <w:b/>
        </w:rPr>
        <w:t>"ARTICLE 3.</w:t>
      </w:r>
    </w:p>
    <w:p>
      <w:pPr>
        <w:pStyle w:val="BodyText2"/>
        <w:ind w:firstLine="720" w:start="0" w:end="0"/>
        <w:jc w:val="center"/>
        <w:rPr>
          <w:b/>
        </w:rPr>
      </w:pPr>
      <w:r>
        <w:rPr>
          <w:b/>
        </w:rPr>
        <w:t>OPERATING AND MAINTENANCE FEE</w:t>
      </w:r>
    </w:p>
    <w:p>
      <w:pPr>
        <w:pStyle w:val="BodyText2"/>
        <w:jc w:val="both"/>
        <w:rPr>
          <w:b/>
        </w:rPr>
      </w:pPr>
      <w:r>
        <w:rPr>
          <w:b/>
        </w:rPr>
      </w:r>
    </w:p>
    <w:p>
      <w:pPr>
        <w:pStyle w:val="BodyText2"/>
        <w:numPr>
          <w:ilvl w:val="1"/>
          <w:numId w:val="3"/>
        </w:numPr>
        <w:jc w:val="both"/>
        <w:rPr/>
      </w:pPr>
      <w:r>
        <w:rPr>
          <w:u w:val="single"/>
        </w:rPr>
        <w:t>Operating and Maintenance Fee</w:t>
      </w:r>
      <w:r>
        <w:rPr/>
        <w:t>.  Owner shall pay Operator an operating and maintenance fee to operate and maintain the Compressor Motor Facilities (including the provision of administrative services) (the "Operating and Maintenance Fee").  The Operating and Maintenance Fee shall be the O&amp;M Conversion Factor (based on the Load Factor for such month, as set forth in the table in Exhibit "B") multiplied by Total Shaft Energy.  In no event shall the total of all Operation and Maintenance Fees for any Contract Year be less than $170,000.  The Operating and Maintenance Fee covers all of Operator’s operation and maintenance costs (including, but not limited to capital expenditures) incurred in the operation of the Compressor Motor Facilities, and the cost of all scheduled maintenance and repair for the particular Contract Year.  Notwithstanding the above, the Operating and Maintenance Fee shall not cover any costs associated with the repair and/or replacement of facilities that are covered under Owner’s insurance protection as specified in Article 8 herein, the cost of such insurance, and any ad valorem taxes relating to the Compressor Motor Facilities.  Operator shall invoice the Owner for the Operating and Maintenance Fee for the immediately preceding month within 20 days of the 1st day of each month.  Owner shall provide to Operator the necessary information required for calculation of the Load Factor within 15 days of the 1st day of each month.  The Operating and Maintenance Fee shall be paid by Owner to Operator within 10 days of Owner's receipt of such invoice by wire transfer to an account to be designated by Operator.  Should this Agreement terminate prior to the end of any month the Operating and Maintenance fee shall be prorated based upon the portion of the month in which the Agreement was in effect.</w:t>
      </w:r>
    </w:p>
    <w:p>
      <w:pPr>
        <w:pStyle w:val="BodyText2"/>
        <w:jc w:val="both"/>
        <w:rPr/>
      </w:pPr>
      <w:r>
        <w:rPr/>
      </w:r>
    </w:p>
    <w:p>
      <w:pPr>
        <w:pStyle w:val="BodyText2"/>
        <w:numPr>
          <w:ilvl w:val="1"/>
          <w:numId w:val="3"/>
        </w:numPr>
        <w:jc w:val="both"/>
        <w:rPr/>
      </w:pPr>
      <w:r>
        <w:rPr>
          <w:u w:val="single"/>
        </w:rPr>
        <w:t>Total Fee</w:t>
      </w:r>
      <w:r>
        <w:rPr/>
        <w:t>.</w:t>
        <w:tab/>
        <w:t>Owner and Operator agree that the Operating and Maintenance Fee calculated according to Section 3.1 of this Agreement shall be inclusive of all fees for operation and maintenance services provided by Operator under the terms of the Bloomfield Operating Agreement."</w:t>
      </w:r>
    </w:p>
    <w:p>
      <w:pPr>
        <w:pStyle w:val="BodyText2"/>
        <w:ind w:start="0" w:end="0"/>
        <w:jc w:val="both"/>
        <w:rPr>
          <w:u w:val="single"/>
        </w:rPr>
      </w:pPr>
      <w:r>
        <w:rPr>
          <w:u w:val="single"/>
        </w:rPr>
      </w:r>
    </w:p>
    <w:p>
      <w:pPr>
        <w:pStyle w:val="BodyText2"/>
        <w:ind w:hanging="630" w:start="630" w:end="0"/>
        <w:jc w:val="both"/>
        <w:rPr/>
      </w:pPr>
      <w:r>
        <w:rPr/>
        <w:t>2.</w:t>
        <w:tab/>
        <w:t>Owner and Operator agree that the Operating and Maintenance Fee in accordance Section 3.1 of the Agreement, as amended hereby, shall be payable commencing on August 1, 1999.</w:t>
      </w:r>
    </w:p>
    <w:p>
      <w:pPr>
        <w:pStyle w:val="BodyText2"/>
        <w:jc w:val="both"/>
        <w:rPr/>
      </w:pPr>
      <w:r>
        <w:rPr/>
      </w:r>
    </w:p>
    <w:p>
      <w:pPr>
        <w:pStyle w:val="Normal"/>
        <w:widowControl/>
        <w:numPr>
          <w:ilvl w:val="0"/>
          <w:numId w:val="2"/>
        </w:numPr>
        <w:tabs>
          <w:tab w:val="clear" w:pos="720"/>
          <w:tab w:val="left" w:pos="630" w:leader="none"/>
        </w:tabs>
        <w:ind w:hanging="630" w:start="630" w:end="0"/>
        <w:rPr/>
      </w:pPr>
      <w:r>
        <w:rPr/>
        <w:t>Section 5.2 "</w:t>
      </w:r>
      <w:r>
        <w:rPr>
          <w:u w:val="single"/>
        </w:rPr>
        <w:t>Termination"</w:t>
      </w:r>
      <w:r>
        <w:rPr/>
        <w:t>, of the Agreement is hereby amended by deleting Section 5.2(ii) in its entirety and replacing it with the following:</w:t>
      </w:r>
    </w:p>
    <w:p>
      <w:pPr>
        <w:pStyle w:val="Normal"/>
        <w:widowControl/>
        <w:rPr/>
      </w:pPr>
      <w:r>
        <w:rPr/>
      </w:r>
    </w:p>
    <w:p>
      <w:pPr>
        <w:pStyle w:val="Normal"/>
        <w:widowControl/>
        <w:ind w:start="630" w:end="0"/>
        <w:rPr/>
      </w:pPr>
      <w:r>
        <w:rPr/>
        <w:t>"(ii)</w:t>
        <w:tab/>
        <w:t xml:space="preserve">Upon the occurrence of any default by Owner in the payment of the Operating and Maintenance Fee, which default remains unremedied for a period of 30 days after written notice thereof has been given by the Operator, Operator may, at its sole option, by giving written notice thereof to Owner, terminate Operator's obligations under this Agreement, without in any way affecting Operator's rights under this Agreement; or" </w:t>
      </w:r>
    </w:p>
    <w:p>
      <w:pPr>
        <w:pStyle w:val="BodyText2"/>
        <w:jc w:val="both"/>
        <w:rPr/>
      </w:pPr>
      <w:r>
        <w:rPr/>
      </w:r>
    </w:p>
    <w:p>
      <w:pPr>
        <w:pStyle w:val="Normal"/>
        <w:widowControl/>
        <w:numPr>
          <w:ilvl w:val="0"/>
          <w:numId w:val="2"/>
        </w:numPr>
        <w:tabs>
          <w:tab w:val="clear" w:pos="720"/>
          <w:tab w:val="left" w:pos="630" w:leader="none"/>
        </w:tabs>
        <w:ind w:hanging="630" w:start="630" w:end="0"/>
        <w:rPr/>
      </w:pPr>
      <w:r>
        <w:rPr/>
        <w:t>Section 5.2 "</w:t>
      </w:r>
      <w:r>
        <w:rPr>
          <w:u w:val="single"/>
        </w:rPr>
        <w:t>Termination"</w:t>
      </w:r>
      <w:r>
        <w:rPr/>
        <w:t>, of the Agreement is hereby amended by deleting Section 5.2(iv) in its entirety and replacing it with the following:</w:t>
      </w:r>
    </w:p>
    <w:p>
      <w:pPr>
        <w:pStyle w:val="Normal"/>
        <w:widowControl/>
        <w:rPr/>
      </w:pPr>
      <w:r>
        <w:rPr/>
      </w:r>
    </w:p>
    <w:p>
      <w:pPr>
        <w:pStyle w:val="Normal"/>
        <w:widowControl/>
        <w:ind w:start="630" w:end="0"/>
        <w:rPr/>
      </w:pPr>
      <w:r>
        <w:rPr/>
        <w:t>"(iv)</w:t>
        <w:tab/>
        <w:t>By either Party upon termination of the Compression Services Agreement; or"</w:t>
      </w:r>
    </w:p>
    <w:p>
      <w:pPr>
        <w:pStyle w:val="Normal"/>
        <w:widowControl/>
        <w:rPr/>
      </w:pPr>
      <w:r>
        <w:rPr/>
      </w:r>
    </w:p>
    <w:p>
      <w:pPr>
        <w:pStyle w:val="Normal"/>
        <w:widowControl/>
        <w:numPr>
          <w:ilvl w:val="0"/>
          <w:numId w:val="2"/>
        </w:numPr>
        <w:tabs>
          <w:tab w:val="clear" w:pos="720"/>
          <w:tab w:val="left" w:pos="630" w:leader="none"/>
        </w:tabs>
        <w:ind w:hanging="630" w:start="630" w:end="0"/>
        <w:rPr/>
      </w:pPr>
      <w:r>
        <w:rPr/>
        <w:t>Section 5.2 "</w:t>
      </w:r>
      <w:r>
        <w:rPr>
          <w:u w:val="single"/>
        </w:rPr>
        <w:t>Termination"</w:t>
      </w:r>
      <w:r>
        <w:rPr/>
        <w:t>, of the Agreement is hereby amended by adding the following after Section 5.2(iv):</w:t>
        <w:tab/>
      </w:r>
    </w:p>
    <w:p>
      <w:pPr>
        <w:pStyle w:val="Normal"/>
        <w:widowControl/>
        <w:rPr/>
      </w:pPr>
      <w:r>
        <w:rPr/>
      </w:r>
    </w:p>
    <w:p>
      <w:pPr>
        <w:pStyle w:val="BodyTextIndent2"/>
        <w:rPr/>
      </w:pPr>
      <w:r>
        <w:rPr/>
        <w:t>"(v)</w:t>
        <w:tab/>
        <w:t>Either Party may terminate this Agreement, in its sole discretion by giving the other Party 30 days written notice thereof."</w:t>
      </w:r>
    </w:p>
    <w:p>
      <w:pPr>
        <w:pStyle w:val="Normal"/>
        <w:widowControl/>
        <w:ind w:firstLine="630" w:end="0"/>
        <w:rPr/>
      </w:pPr>
      <w:r>
        <w:rPr/>
      </w:r>
    </w:p>
    <w:p>
      <w:pPr>
        <w:pStyle w:val="Normal"/>
        <w:widowControl/>
        <w:ind w:hanging="720" w:start="720" w:end="0"/>
        <w:rPr/>
      </w:pPr>
      <w:r>
        <w:rPr/>
        <w:t>6.</w:t>
        <w:tab/>
        <w:t>Exhibit "B" of the Agreement is hereby amended and restated by deleting it in its entirety and replacing it with Schedule I, attached hereto.</w:t>
      </w:r>
    </w:p>
    <w:p>
      <w:pPr>
        <w:pStyle w:val="Normal"/>
        <w:widowControl/>
        <w:ind w:firstLine="720" w:start="720" w:end="0"/>
        <w:rPr/>
      </w:pPr>
      <w:r>
        <w:rPr/>
      </w:r>
    </w:p>
    <w:p>
      <w:pPr>
        <w:pStyle w:val="BodyTextIndent"/>
        <w:widowControl/>
        <w:ind w:hanging="720" w:end="0"/>
        <w:rPr/>
      </w:pPr>
      <w:r>
        <w:rPr/>
        <w:t>7.</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start="0" w:end="0"/>
        <w:rPr/>
      </w:pPr>
      <w:r>
        <w:rPr/>
      </w:r>
    </w:p>
    <w:p>
      <w:pPr>
        <w:pStyle w:val="BodyTextIndent"/>
        <w:widowControl/>
        <w:ind w:hanging="72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B</w:t>
      </w:r>
    </w:p>
    <w:p>
      <w:pPr>
        <w:pStyle w:val="BodyTextIndent"/>
        <w:widowControl/>
        <w:ind w:start="0" w:end="0"/>
        <w:jc w:val="center"/>
        <w:rPr/>
      </w:pPr>
      <w:r>
        <w:rPr/>
        <w:t>O&amp;M CONVERSION FACTOR TABLE</w:t>
      </w:r>
    </w:p>
    <w:tbl>
      <w:tblPr>
        <w:tblW w:w="8855" w:type="dxa"/>
        <w:jc w:val="start"/>
        <w:tblInd w:w="0" w:type="dxa"/>
        <w:tblLayout w:type="fixed"/>
        <w:tblCellMar>
          <w:top w:w="0" w:type="dxa"/>
          <w:start w:w="108" w:type="dxa"/>
          <w:bottom w:w="0" w:type="dxa"/>
          <w:end w:w="108" w:type="dxa"/>
        </w:tblCellMar>
      </w:tblPr>
      <w:tblGrid>
        <w:gridCol w:w="1771"/>
        <w:gridCol w:w="1771"/>
        <w:gridCol w:w="1771"/>
        <w:gridCol w:w="1771"/>
        <w:gridCol w:w="1771"/>
      </w:tblGrid>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Conversion Factor ($/HPhr)</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u w:val="single"/>
                <w:lang w:eastAsia="en-US"/>
              </w:rPr>
            </w:pPr>
            <w:r>
              <w:rPr>
                <w:rFonts w:cs="Arial" w:ascii="Arial" w:hAnsi="Arial"/>
                <w:color w:val="000000"/>
                <w:sz w:val="20"/>
                <w:u w:val="single"/>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Conversion Factor ($/HPhr)</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1.00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0.003998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0.007995</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0.004038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0.008042</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0.004079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0.008090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0.004121</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0.008141</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0.004164</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0.008194</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0.004208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0.008249</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0.004253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0.008307</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0.004299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0.008367</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0.004345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0.008430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0.004393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0.008497</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0.004442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0.008566</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0.004492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0.008640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0.004543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0.008717</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0.004595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0.008798</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0.004648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0.008884</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0.004703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0.008974</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0.004759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0.009070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0.004816</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0.009172</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0.004875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0.009280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0.004935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0.009395</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0.004997</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0.009518</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0.005060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0.009649</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0.005125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0.009790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0.005192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0.009941</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0.005260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0.010104</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0.005330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0.010280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0.005402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0.010470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0.005476</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0.010677</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0.005552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0.010903</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0.005630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0.011150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0.005711</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0.011422</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0.005794</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0.011722</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0.005879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0.012056</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0.005967</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0.012430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0.006057</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0.012850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0.006150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0.013325</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0.006246</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0.013869</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0.006345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0.014497</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0.006448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0.015229</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0.006553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0.016094</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0.006663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0.017133</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0.006776</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0.09</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0.018402</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0.006892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0.08</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0.019988</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0.007013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0.07</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0.022028</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0.007139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0.06</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0.024747</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0.007268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0.05</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0.028554</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0.007403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0.04</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0.034265</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0.007543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0.043784</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0.007688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0.02</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0.062820</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0.007838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0.119929</w:t>
            </w:r>
          </w:p>
        </w:tc>
      </w:tr>
    </w:tbl>
    <w:p>
      <w:pPr>
        <w:pStyle w:val="BodyTextIndent"/>
        <w:widowControl/>
        <w:ind w:start="0" w:end="0"/>
        <w:jc w:val="center"/>
        <w:rPr/>
      </w:pPr>
      <w:r>
        <w:rPr/>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/mnt/main-storage/datasets/enron-docs/doc/O_M_Bisti_Amd__ECC_2.doc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/mnt/main-storage/datasets/enron-docs/doc/O_M_Bisti_Amd__ECC_2.doc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lvl>
  </w:abstractNum>
  <w:abstractNum w:abstractNumId="3">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2"/>
      <w:numFmt w:val="decimal"/>
      <w:lvlText w:val="%1"/>
      <w:lvlJc w:val="start"/>
      <w:pPr>
        <w:tabs>
          <w:tab w:val="num" w:pos="360"/>
        </w:tabs>
        <w:ind w:start="360" w:hanging="360"/>
      </w:pPr>
      <w:rPr/>
    </w:lvl>
    <w:lvl w:ilvl="1">
      <w:start w:val="2"/>
      <w:numFmt w:val="decimal"/>
      <w:lvlText w:val="%1.%2"/>
      <w:lvlJc w:val="start"/>
      <w:pPr>
        <w:tabs>
          <w:tab w:val="num" w:pos="1800"/>
        </w:tabs>
        <w:ind w:start="1800" w:hanging="36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5">
    <w:lvl w:ilvl="0">
      <w:start w:val="2"/>
      <w:numFmt w:val="decimal"/>
      <w:lvlText w:val="%1"/>
      <w:lvlJc w:val="start"/>
      <w:pPr>
        <w:tabs>
          <w:tab w:val="num" w:pos="360"/>
        </w:tabs>
        <w:ind w:start="360" w:hanging="360"/>
      </w:pPr>
      <w:rPr/>
    </w:lvl>
    <w:lvl w:ilvl="1">
      <w:start w:val="3"/>
      <w:numFmt w:val="decimal"/>
      <w:lvlText w:val="%1.%2"/>
      <w:lvlJc w:val="start"/>
      <w:pPr>
        <w:tabs>
          <w:tab w:val="num" w:pos="1800"/>
        </w:tabs>
        <w:ind w:start="1800" w:hanging="36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6">
    <w:lvl w:ilvl="0">
      <w:start w:val="1"/>
      <w:numFmt w:val="decimal"/>
      <w:lvlText w:val="%1."/>
      <w:lvlJc w:val="start"/>
      <w:pPr>
        <w:tabs>
          <w:tab w:val="num" w:pos="360"/>
        </w:tabs>
        <w:ind w:start="360" w:hanging="360"/>
      </w:pPr>
      <w:rPr/>
    </w:lvl>
    <w:lvl w:ilvl="1">
      <w:start w:val="7"/>
      <w:isLgl/>
      <w:numFmt w:val="decimal"/>
      <w:lvlText w:val="%1.%2"/>
      <w:lvlJc w:val="start"/>
      <w:pPr>
        <w:tabs>
          <w:tab w:val="num" w:pos="2160"/>
        </w:tabs>
        <w:ind w:start="2160" w:hanging="720"/>
      </w:pPr>
      <w:rPr/>
    </w:lvl>
    <w:lvl w:ilvl="2">
      <w:start w:val="1"/>
      <w:isLgl/>
      <w:numFmt w:val="decimal"/>
      <w:lvlText w:val="%1.%2.%3"/>
      <w:lvlJc w:val="start"/>
      <w:pPr>
        <w:tabs>
          <w:tab w:val="num" w:pos="3600"/>
        </w:tabs>
        <w:ind w:start="3600" w:hanging="720"/>
      </w:pPr>
      <w:rPr/>
    </w:lvl>
    <w:lvl w:ilvl="3">
      <w:start w:val="1"/>
      <w:isLgl/>
      <w:numFmt w:val="decimal"/>
      <w:lvlText w:val="%1.%2.%3.%4"/>
      <w:lvlJc w:val="start"/>
      <w:pPr>
        <w:tabs>
          <w:tab w:val="num" w:pos="5040"/>
        </w:tabs>
        <w:ind w:start="5040" w:hanging="720"/>
      </w:pPr>
      <w:rPr/>
    </w:lvl>
    <w:lvl w:ilvl="4">
      <w:start w:val="1"/>
      <w:isLgl/>
      <w:numFmt w:val="decimal"/>
      <w:lvlText w:val="%1.%2.%3.%4.%5"/>
      <w:lvlJc w:val="start"/>
      <w:pPr>
        <w:tabs>
          <w:tab w:val="num" w:pos="6840"/>
        </w:tabs>
        <w:ind w:start="6840" w:hanging="1080"/>
      </w:pPr>
      <w:rPr/>
    </w:lvl>
    <w:lvl w:ilvl="5">
      <w:start w:val="1"/>
      <w:isLgl/>
      <w:numFmt w:val="decimal"/>
      <w:lvlText w:val="%1.%2.%3.%4.%5.%6"/>
      <w:lvlJc w:val="start"/>
      <w:pPr>
        <w:tabs>
          <w:tab w:val="num" w:pos="8280"/>
        </w:tabs>
        <w:ind w:start="8280" w:hanging="1080"/>
      </w:pPr>
      <w:rPr/>
    </w:lvl>
    <w:lvl w:ilvl="6">
      <w:start w:val="1"/>
      <w:isLgl/>
      <w:numFmt w:val="decimal"/>
      <w:lvlText w:val="%1.%2.%3.%4.%5.%6.%7"/>
      <w:lvlJc w:val="start"/>
      <w:pPr>
        <w:tabs>
          <w:tab w:val="num" w:pos="10080"/>
        </w:tabs>
        <w:ind w:start="10080" w:hanging="1440"/>
      </w:pPr>
      <w:rPr/>
    </w:lvl>
    <w:lvl w:ilvl="7">
      <w:start w:val="1"/>
      <w:isLgl/>
      <w:numFmt w:val="decimal"/>
      <w:lvlText w:val="%1.%2.%3.%4.%5.%6.%7.%8"/>
      <w:lvlJc w:val="start"/>
      <w:pPr>
        <w:tabs>
          <w:tab w:val="num" w:pos="11520"/>
        </w:tabs>
        <w:ind w:start="11520" w:hanging="1440"/>
      </w:pPr>
      <w:rPr/>
    </w:lvl>
    <w:lvl w:ilvl="8">
      <w:start w:val="1"/>
      <w:isLgl/>
      <w:numFmt w:val="decimal"/>
      <w:lvlText w:val="%1.%2.%3.%4.%5.%6.%7.%8.%9"/>
      <w:lvlJc w:val="start"/>
      <w:pPr>
        <w:tabs>
          <w:tab w:val="num" w:pos="13320"/>
        </w:tabs>
        <w:ind w:start="1332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2">
    <w:name w:val="Body Text 2"/>
    <w:basedOn w:val="Normal"/>
    <w:qFormat/>
    <w:pPr>
      <w:widowControl/>
      <w:ind w:hanging="0" w:start="720" w:end="0"/>
      <w:jc w:val="start"/>
    </w:pPr>
    <w:rPr/>
  </w:style>
  <w:style w:type="paragraph" w:styleId="BodyTextIndent2">
    <w:name w:val="Body Text Indent 2"/>
    <w:basedOn w:val="Normal"/>
    <w:qFormat/>
    <w:pPr>
      <w:widowControl/>
      <w:ind w:hanging="0" w:start="630" w:end="0"/>
    </w:pPr>
    <w:rPr/>
  </w:style>
  <w:style w:type="paragraph" w:styleId="BodyTextIndent3">
    <w:name w:val="Body Text Indent 3"/>
    <w:basedOn w:val="Normal"/>
    <w:qFormat/>
    <w:pPr>
      <w:ind w:hanging="630" w:start="63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1999-06-16T21:02:00Z</dcterms:created>
  <dc:creator>gnemec</dc:creator>
  <dc:description/>
  <dc:language>en-CA</dc:language>
  <cp:lastModifiedBy>gnemec</cp:lastModifiedBy>
  <cp:lastPrinted>1999-06-17T11:37:00Z</cp:lastPrinted>
  <dcterms:modified xsi:type="dcterms:W3CDTF">1999-06-17T14:08:00Z</dcterms:modified>
  <cp:revision>36</cp:revision>
  <dc:subject/>
  <dc:title>AMENDMENT</dc:title>
</cp:coreProperties>
</file>