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(Bisti) (the "</w:t>
      </w:r>
      <w:r>
        <w:rPr>
          <w:u w:val="single"/>
        </w:rPr>
        <w:t>Agreement</w:t>
      </w:r>
      <w:r>
        <w:rPr/>
        <w:t>") dated September 9, 1996, governing Operator's provision of operations and maintenance services for Owner's electric motor driver equipment at Operator's Bisti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5"/>
        </w:numPr>
        <w:tabs>
          <w:tab w:val="clear" w:pos="720"/>
          <w:tab w:val="left" w:pos="630" w:leader="none"/>
        </w:tabs>
        <w:ind w:hanging="630" w:start="630" w:end="0"/>
        <w:rPr/>
      </w:pPr>
      <w:r>
        <w:rPr/>
        <w:t>Article 1. "</w:t>
      </w:r>
      <w:r>
        <w:rPr>
          <w:u w:val="single"/>
        </w:rPr>
        <w:t>Definitions</w:t>
      </w:r>
      <w:r>
        <w:rPr/>
        <w:t>", of the Agreement is hereby amended and restated by deleting it in its entirety and replacing it with the following:</w:t>
      </w:r>
    </w:p>
    <w:p>
      <w:pPr>
        <w:pStyle w:val="Normal"/>
        <w:widowControl/>
        <w:rPr/>
      </w:pPr>
      <w:r>
        <w:rPr/>
      </w:r>
    </w:p>
    <w:p>
      <w:pPr>
        <w:pStyle w:val="BodyText"/>
        <w:ind w:start="630" w:end="0"/>
        <w:jc w:val="both"/>
        <w:rPr/>
      </w:pPr>
      <w:r>
        <w:rPr/>
        <w:t>"As used in this Agreement, the above terms shall have the above meanings and the following terms shall have the meanings set forth below.  All references herein to laws shall include such laws, as amended and in effect from time to time, including successor legislations thereof, and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rPr/>
      </w:pPr>
      <w:r>
        <w:rPr/>
      </w:r>
    </w:p>
    <w:p>
      <w:pPr>
        <w:pStyle w:val="BodyTextIndent3"/>
        <w:rPr/>
      </w:pPr>
      <w:r>
        <w:rPr/>
        <w:tab/>
        <w:tab/>
        <w:tab/>
        <w:t>1.1</w:t>
        <w:tab/>
        <w:t>"Annual Capital Budget" is defined in Section 2.2 of this Agreement.</w:t>
      </w:r>
    </w:p>
    <w:p>
      <w:pPr>
        <w:pStyle w:val="BodyTextIndent3"/>
        <w:rPr/>
      </w:pPr>
      <w:r>
        <w:rPr/>
      </w:r>
    </w:p>
    <w:p>
      <w:pPr>
        <w:pStyle w:val="BodyTextIndent3"/>
        <w:rPr/>
      </w:pPr>
      <w:r>
        <w:rPr/>
        <w:tab/>
        <w:tab/>
        <w:tab/>
        <w:t>1.2</w:t>
        <w:tab/>
        <w:t>"Bloomfield Compressor Motor Facilties" means the electric motors, variable speed drives, gear boxes and certain other equipment and facilities, including electrical substations, all as more particularly described on Exhibit “A” of the Bloomfield Operating Agreement.</w:t>
      </w:r>
    </w:p>
    <w:p>
      <w:pPr>
        <w:pStyle w:val="BodyTextIndent3"/>
        <w:rPr/>
      </w:pPr>
      <w:r>
        <w:rPr/>
      </w:r>
    </w:p>
    <w:p>
      <w:pPr>
        <w:pStyle w:val="Normal"/>
        <w:ind w:firstLine="720" w:start="720" w:end="0"/>
        <w:rPr/>
      </w:pPr>
      <w:r>
        <w:rPr/>
        <w:t>1.3</w:t>
        <w:tab/>
        <w:t>"Bloomfield Operating Agreement" shall mean that certain Operations and Maintenance Agreement (Bloomfield) between Owner and Operator dated September 9, 1996.</w:t>
      </w:r>
    </w:p>
    <w:p>
      <w:pPr>
        <w:pStyle w:val="Normal"/>
        <w:rPr/>
      </w:pPr>
      <w:r>
        <w:rPr/>
      </w:r>
    </w:p>
    <w:p>
      <w:pPr>
        <w:pStyle w:val="BodyTextIndent3"/>
        <w:rPr/>
      </w:pPr>
      <w:r>
        <w:rPr/>
        <w:tab/>
        <w:tab/>
        <w:tab/>
        <w:t>1.4</w:t>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rPr/>
      </w:pPr>
      <w:r>
        <w:rPr/>
      </w:r>
    </w:p>
    <w:p>
      <w:pPr>
        <w:pStyle w:val="BodyTextIndent3"/>
        <w:rPr/>
      </w:pPr>
      <w:r>
        <w:rPr/>
        <w:tab/>
        <w:tab/>
        <w:tab/>
        <w:t>1.5</w:t>
        <w:tab/>
        <w:t>"Compression Services Agreement" means that certain Compression Services Agreement (Bisti Compressor Station) dated as of March 31, 1999 by and between Owner and Operator.</w:t>
      </w:r>
    </w:p>
    <w:p>
      <w:pPr>
        <w:pStyle w:val="Normal"/>
        <w:rPr/>
      </w:pPr>
      <w:r>
        <w:rPr/>
      </w:r>
    </w:p>
    <w:p>
      <w:pPr>
        <w:pStyle w:val="BodyTextIndent3"/>
        <w:rPr/>
      </w:pPr>
      <w:r>
        <w:rPr/>
        <w:tab/>
        <w:tab/>
        <w:tab/>
        <w:t>1.6</w:t>
        <w:tab/>
        <w:t>"Contract Year" means a 12-month period from the Start Date to the day immediately preceding the first anniversary of the Start Date, and each 12-month period thereafter, until the termination of this Agreement.</w:t>
      </w:r>
    </w:p>
    <w:p>
      <w:pPr>
        <w:pStyle w:val="Normal"/>
        <w:rPr/>
      </w:pPr>
      <w:r>
        <w:rPr/>
      </w:r>
    </w:p>
    <w:p>
      <w:pPr>
        <w:pStyle w:val="BodyTextIndent3"/>
        <w:rPr/>
      </w:pPr>
      <w:r>
        <w:rPr/>
        <w:tab/>
        <w:tab/>
        <w:tab/>
        <w:t>1.7</w:t>
        <w:tab/>
        <w:t>"Good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rPr/>
      </w:pPr>
      <w:r>
        <w:rPr/>
      </w:r>
    </w:p>
    <w:p>
      <w:pPr>
        <w:pStyle w:val="Normal"/>
        <w:rPr/>
      </w:pPr>
      <w:r>
        <w:rPr/>
        <w:tab/>
        <w:tab/>
        <w:t>1.8</w:t>
        <w:tab/>
        <w:t>"HP Capacity" is defined in the Compression Services Agreement.</w:t>
      </w:r>
    </w:p>
    <w:p>
      <w:pPr>
        <w:pStyle w:val="Normal"/>
        <w:rPr/>
      </w:pPr>
      <w:r>
        <w:rPr/>
      </w:r>
    </w:p>
    <w:p>
      <w:pPr>
        <w:pStyle w:val="Normal"/>
        <w:ind w:start="1440" w:end="0"/>
        <w:rPr/>
      </w:pPr>
      <w:r>
        <w:rPr/>
        <w:t>1.9</w:t>
        <w:tab/>
        <w:t>"HP-hour" is defined in the Compression Services Agreement.</w:t>
      </w:r>
    </w:p>
    <w:p>
      <w:pPr>
        <w:pStyle w:val="Normal"/>
        <w:rPr/>
      </w:pPr>
      <w:r>
        <w:rPr/>
      </w:r>
    </w:p>
    <w:p>
      <w:pPr>
        <w:pStyle w:val="Normal"/>
        <w:ind w:firstLine="720" w:start="720" w:end="0"/>
        <w:rPr/>
      </w:pPr>
      <w:r>
        <w:rPr/>
        <w:t>2.0</w:t>
        <w:tab/>
        <w:t>"Load Factor" shall mean the Total Shaft Energy divided by the Total Monthly Contract Quantity, with the resulting quotient rounded up to the nearest 0.01."</w:t>
      </w:r>
    </w:p>
    <w:p>
      <w:pPr>
        <w:pStyle w:val="Normal"/>
        <w:rPr/>
      </w:pPr>
      <w:r>
        <w:rPr/>
      </w:r>
    </w:p>
    <w:p>
      <w:pPr>
        <w:pStyle w:val="Normal"/>
        <w:widowControl/>
        <w:ind w:firstLine="720" w:start="720" w:end="0"/>
        <w:rPr/>
      </w:pPr>
      <w:r>
        <w:rPr/>
        <w:t>2.1</w:t>
        <w:tab/>
        <w:t>"O&amp;M Conversion Factor" the shall mean the factor derived from the table set forth in Exhibit "B" based on a corresponding Load Factor.</w:t>
      </w:r>
    </w:p>
    <w:p>
      <w:pPr>
        <w:pStyle w:val="Normal"/>
        <w:widowControl/>
        <w:ind w:firstLine="720" w:start="720" w:end="0"/>
        <w:rPr/>
      </w:pPr>
      <w:r>
        <w:rPr/>
      </w:r>
    </w:p>
    <w:p>
      <w:pPr>
        <w:pStyle w:val="BodyTextIndent3"/>
        <w:numPr>
          <w:ilvl w:val="1"/>
          <w:numId w:val="4"/>
        </w:numPr>
        <w:tabs>
          <w:tab w:val="clear" w:pos="720"/>
          <w:tab w:val="left" w:pos="2160" w:leader="none"/>
        </w:tabs>
        <w:rPr/>
      </w:pPr>
      <w:r>
        <w:rPr/>
        <w:t>"Start Date" means November 1, 1996</w:t>
      </w:r>
    </w:p>
    <w:p>
      <w:pPr>
        <w:pStyle w:val="Normal"/>
        <w:rPr/>
      </w:pPr>
      <w:r>
        <w:rPr/>
      </w:r>
    </w:p>
    <w:p>
      <w:pPr>
        <w:pStyle w:val="Normal"/>
        <w:ind w:firstLine="810" w:start="630" w:end="0"/>
        <w:rPr/>
      </w:pPr>
      <w:r>
        <w:rPr/>
        <w:t>2.3</w:t>
        <w:tab/>
        <w:t>"Total Monthly Contract Quantity" shall mean the 17,000 HP-hours per hour multiplied by the number of hours in the applicable month.</w:t>
      </w:r>
    </w:p>
    <w:p>
      <w:pPr>
        <w:pStyle w:val="Normal"/>
        <w:rPr/>
      </w:pPr>
      <w:r>
        <w:rPr/>
      </w:r>
    </w:p>
    <w:p>
      <w:pPr>
        <w:pStyle w:val="BodyTextIndent3"/>
        <w:rPr/>
      </w:pPr>
      <w:r>
        <w:rPr/>
        <w:tab/>
        <w:tab/>
        <w:tab/>
        <w:t>2.4</w:t>
        <w:tab/>
        <w:t>"Total Shaft Energy" shall the total amount of energy, measured in HP-hours, actually produced by the Compressor Motor Facilities and the Bloomfield Compressor Motor Facilities in any applicable month.</w:t>
      </w:r>
    </w:p>
    <w:p>
      <w:pPr>
        <w:pStyle w:val="Normal"/>
        <w:rPr/>
      </w:pPr>
      <w:r>
        <w:rPr/>
      </w:r>
    </w:p>
    <w:p>
      <w:pPr>
        <w:pStyle w:val="Normal"/>
        <w:ind w:firstLine="810" w:start="630" w:end="0"/>
        <w:rPr/>
      </w:pPr>
      <w:r>
        <w:rPr/>
        <w:t>2.5</w:t>
        <w:tab/>
        <w:t>"Test Date" means the day after energy is first able to be provided to the Compressor Station.</w:t>
      </w:r>
    </w:p>
    <w:p>
      <w:pPr>
        <w:pStyle w:val="Normal"/>
        <w:widowControl/>
        <w:rPr/>
      </w:pPr>
      <w:r>
        <w:rPr/>
      </w:r>
    </w:p>
    <w:p>
      <w:pPr>
        <w:pStyle w:val="Normal"/>
        <w:widowControl/>
        <w:rPr/>
      </w:pPr>
      <w:r>
        <w:rPr/>
      </w:r>
    </w:p>
    <w:p>
      <w:pPr>
        <w:pStyle w:val="Normal"/>
        <w:widowControl/>
        <w:numPr>
          <w:ilvl w:val="0"/>
          <w:numId w:val="4"/>
        </w:numPr>
        <w:ind w:hanging="630" w:start="630" w:end="0"/>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3"/>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$170,000.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jc w:val="both"/>
        <w:rPr/>
      </w:pPr>
      <w:r>
        <w:rPr/>
      </w:r>
    </w:p>
    <w:p>
      <w:pPr>
        <w:pStyle w:val="BodyText2"/>
        <w:numPr>
          <w:ilvl w:val="1"/>
          <w:numId w:val="3"/>
        </w:numPr>
        <w:jc w:val="both"/>
        <w:rPr/>
      </w:pPr>
      <w:r>
        <w:rPr>
          <w:u w:val="single"/>
        </w:rPr>
        <w:t>Total Fee</w:t>
      </w:r>
      <w:r>
        <w:rPr/>
        <w:t>.</w:t>
        <w:tab/>
        <w:t>Owner and Operator agree that the Operating and Maintenance Fee calculated according to Section 3.1 of this Agreement shall be inclusive of all fees for operation and maintenance services provided by Operator under the terms of the Bloomfield Operating Agreement."</w:t>
      </w:r>
    </w:p>
    <w:p>
      <w:pPr>
        <w:pStyle w:val="BodyText2"/>
        <w:ind w:start="0" w:end="0"/>
        <w:jc w:val="both"/>
        <w:rPr>
          <w:u w:val="single"/>
        </w:rPr>
      </w:pPr>
      <w:r>
        <w:rPr>
          <w:u w:val="single"/>
        </w:rPr>
      </w:r>
    </w:p>
    <w:p>
      <w:pPr>
        <w:pStyle w:val="BodyText2"/>
        <w:ind w:hanging="630" w:start="630" w:end="0"/>
        <w:jc w:val="both"/>
        <w:rPr/>
      </w:pPr>
      <w:r>
        <w:rPr/>
        <w:t>2.</w:t>
        <w:tab/>
        <w:t>Owner and Operator agree that the Operating and Maintenance Fee in accordance Section 3.1 of the Agreement, as amended hereby, shall be payable commencing on August 1, 1999.</w:t>
      </w:r>
    </w:p>
    <w:p>
      <w:pPr>
        <w:pStyle w:val="BodyText2"/>
        <w:jc w:val="both"/>
        <w:rPr/>
      </w:pPr>
      <w:r>
        <w:rPr/>
      </w:r>
    </w:p>
    <w:p>
      <w:pPr>
        <w:pStyle w:val="Normal"/>
        <w:widowControl/>
        <w:numPr>
          <w:ilvl w:val="0"/>
          <w:numId w:val="2"/>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2"/>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2"/>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ind w:hanging="720" w:start="720" w:end="0"/>
        <w:rPr/>
      </w:pPr>
      <w:r>
        <w:rPr/>
        <w:t>6.</w:t>
        <w:tab/>
        <w:t>Exhibit "B" of the Agreement is hereby amended and restated by deleting it in its entirety and replacing it with Schedule I, attached hereto.</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O&amp;M CONVERSION FACTOR TABLE</w:t>
      </w:r>
    </w:p>
    <w:tbl>
      <w:tblPr>
        <w:tblW w:w="8855" w:type="dxa"/>
        <w:jc w:val="start"/>
        <w:tblInd w:w="0" w:type="dxa"/>
        <w:tblLayout w:type="fixed"/>
        <w:tblCellMar>
          <w:top w:w="0" w:type="dxa"/>
          <w:start w:w="108" w:type="dxa"/>
          <w:bottom w:w="0" w:type="dxa"/>
          <w:end w:w="108" w:type="dxa"/>
        </w:tblCellMar>
      </w:tblPr>
      <w:tblGrid>
        <w:gridCol w:w="1771"/>
        <w:gridCol w:w="1771"/>
        <w:gridCol w:w="1771"/>
        <w:gridCol w:w="1771"/>
        <w:gridCol w:w="1771"/>
      </w:tblGrid>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 ($/HPhr)</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u w:val="single"/>
                <w:lang w:eastAsia="en-US"/>
              </w:rPr>
            </w:pPr>
            <w:r>
              <w:rPr>
                <w:rFonts w:cs="Arial" w:ascii="Arial" w:hAnsi="Arial"/>
                <w:color w:val="000000"/>
                <w:sz w:val="20"/>
                <w:u w:val="single"/>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 ($/HPhr)</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1.00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0.003998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0.007995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0.004038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0.008042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0.004079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0.008090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0.004121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0.008141</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0.004164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0.008194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0.004208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0.008249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0.004253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0.008307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0.004299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0.008367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0.004345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0.008430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0.004393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0.008497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0.004442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0.008566</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0.004492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0.008640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0.004543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0.008717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0.004595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0.008798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0.004648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0.008884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0.004703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0.008974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0.004759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0.009070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0.004816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0.009172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0.004875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0.009280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0.004935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0.009395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0.004997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0.009518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0.005060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0.009649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0.005125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0.009790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0.005192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0.009941</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0.005260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0.010104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0.005330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0.010280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0.005402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0.010470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0.005476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0.010677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0.005552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0.010903</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0.005630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0.011150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0.005711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0.011422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0.005794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0.011722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0.005879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0.012056</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0.005967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0.012430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0.006057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0.012850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0.006150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0.013325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0.006246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0.013869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0.006345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0.014497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0.006448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0.015229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0.006553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0.016094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0.006663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0.017133</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0.006776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0.018402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0.006892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0.019988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0.007013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0.022028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0.007139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0.024747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0.007268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0.028554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0.007403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0.034265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0.007543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0.043784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0.007688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0.062820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0.007838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0.119929</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/mnt/main-storage/datasets/enron-docs/doc/O_M_Bisti_Amd__ECC_2-2602fd1b560ae46d9fb9b262c3f9ddbc7a99c6a46094189164a9d5b84e3ada1a.doc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/mnt/main-storage/datasets/enron-docs/doc/O_M_Bisti_Amd__ECC_2-2602fd1b560ae46d9fb9b262c3f9ddbc7a99c6a46094189164a9d5b84e3ada1a.doc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2"/>
      <w:numFmt w:val="decimal"/>
      <w:lvlText w:val="%1"/>
      <w:lvlJc w:val="start"/>
      <w:pPr>
        <w:tabs>
          <w:tab w:val="num" w:pos="360"/>
        </w:tabs>
        <w:ind w:start="360" w:hanging="360"/>
      </w:pPr>
      <w:rPr/>
    </w:lvl>
    <w:lvl w:ilvl="1">
      <w:start w:val="2"/>
      <w:numFmt w:val="decimal"/>
      <w:lvlText w:val="%1.%2"/>
      <w:lvlJc w:val="start"/>
      <w:pPr>
        <w:tabs>
          <w:tab w:val="num" w:pos="1800"/>
        </w:tabs>
        <w:ind w:start="1800" w:hanging="36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5">
    <w:lvl w:ilvl="0">
      <w:start w:val="1"/>
      <w:numFmt w:val="decimal"/>
      <w:lvlText w:val="%1."/>
      <w:lvlJc w:val="start"/>
      <w:pPr>
        <w:tabs>
          <w:tab w:val="num" w:pos="360"/>
        </w:tabs>
        <w:ind w:start="360" w:hanging="360"/>
      </w:pPr>
      <w:rPr/>
    </w:lvl>
    <w:lvl w:ilvl="1">
      <w:start w:val="7"/>
      <w:isLgl/>
      <w:numFmt w:val="decimal"/>
      <w:lvlText w:val="%1.%2"/>
      <w:lvlJc w:val="start"/>
      <w:pPr>
        <w:tabs>
          <w:tab w:val="num" w:pos="2160"/>
        </w:tabs>
        <w:ind w:start="2160" w:hanging="720"/>
      </w:pPr>
      <w:rPr/>
    </w:lvl>
    <w:lvl w:ilvl="2">
      <w:start w:val="1"/>
      <w:isLgl/>
      <w:numFmt w:val="decimal"/>
      <w:lvlText w:val="%1.%2.%3"/>
      <w:lvlJc w:val="start"/>
      <w:pPr>
        <w:tabs>
          <w:tab w:val="num" w:pos="3600"/>
        </w:tabs>
        <w:ind w:start="3600" w:hanging="720"/>
      </w:pPr>
      <w:rPr/>
    </w:lvl>
    <w:lvl w:ilvl="3">
      <w:start w:val="1"/>
      <w:isLgl/>
      <w:numFmt w:val="decimal"/>
      <w:lvlText w:val="%1.%2.%3.%4"/>
      <w:lvlJc w:val="start"/>
      <w:pPr>
        <w:tabs>
          <w:tab w:val="num" w:pos="5040"/>
        </w:tabs>
        <w:ind w:start="5040" w:hanging="720"/>
      </w:pPr>
      <w:rPr/>
    </w:lvl>
    <w:lvl w:ilvl="4">
      <w:start w:val="1"/>
      <w:isLgl/>
      <w:numFmt w:val="decimal"/>
      <w:lvlText w:val="%1.%2.%3.%4.%5"/>
      <w:lvlJc w:val="start"/>
      <w:pPr>
        <w:tabs>
          <w:tab w:val="num" w:pos="6840"/>
        </w:tabs>
        <w:ind w:start="6840" w:hanging="1080"/>
      </w:pPr>
      <w:rPr/>
    </w:lvl>
    <w:lvl w:ilvl="5">
      <w:start w:val="1"/>
      <w:isLgl/>
      <w:numFmt w:val="decimal"/>
      <w:lvlText w:val="%1.%2.%3.%4.%5.%6"/>
      <w:lvlJc w:val="start"/>
      <w:pPr>
        <w:tabs>
          <w:tab w:val="num" w:pos="8280"/>
        </w:tabs>
        <w:ind w:start="8280" w:hanging="1080"/>
      </w:pPr>
      <w:rPr/>
    </w:lvl>
    <w:lvl w:ilvl="6">
      <w:start w:val="1"/>
      <w:isLgl/>
      <w:numFmt w:val="decimal"/>
      <w:lvlText w:val="%1.%2.%3.%4.%5.%6.%7"/>
      <w:lvlJc w:val="start"/>
      <w:pPr>
        <w:tabs>
          <w:tab w:val="num" w:pos="10080"/>
        </w:tabs>
        <w:ind w:start="10080" w:hanging="1440"/>
      </w:pPr>
      <w:rPr/>
    </w:lvl>
    <w:lvl w:ilvl="7">
      <w:start w:val="1"/>
      <w:isLgl/>
      <w:numFmt w:val="decimal"/>
      <w:lvlText w:val="%1.%2.%3.%4.%5.%6.%7.%8"/>
      <w:lvlJc w:val="start"/>
      <w:pPr>
        <w:tabs>
          <w:tab w:val="num" w:pos="11520"/>
        </w:tabs>
        <w:ind w:start="11520" w:hanging="1440"/>
      </w:pPr>
      <w:rPr/>
    </w:lvl>
    <w:lvl w:ilvl="8">
      <w:start w:val="1"/>
      <w:isLgl/>
      <w:numFmt w:val="decimal"/>
      <w:lvlText w:val="%1.%2.%3.%4.%5.%6.%7.%8.%9"/>
      <w:lvlJc w:val="start"/>
      <w:pPr>
        <w:tabs>
          <w:tab w:val="num" w:pos="13320"/>
        </w:tabs>
        <w:ind w:start="1332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paragraph" w:styleId="BodyTextIndent3">
    <w:name w:val="Body Text Indent 3"/>
    <w:basedOn w:val="Normal"/>
    <w:qFormat/>
    <w:pPr>
      <w:ind w:hanging="630" w:start="63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1999-06-16T21:02:00Z</dcterms:created>
  <dc:creator>gnemec</dc:creator>
  <dc:description/>
  <dc:language>en-CA</dc:language>
  <cp:lastModifiedBy>gnemec</cp:lastModifiedBy>
  <cp:lastPrinted>1999-06-17T10:43:00Z</cp:lastPrinted>
  <dcterms:modified xsi:type="dcterms:W3CDTF">1999-06-17T13:16:00Z</dcterms:modified>
  <cp:revision>26</cp:revision>
  <dc:subject/>
  <dc:title>AMENDMENT</dc:title>
</cp:coreProperties>
</file>