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(Bisti) (the "</w:t>
      </w:r>
      <w:r>
        <w:rPr>
          <w:u w:val="single"/>
        </w:rPr>
        <w:t>Agreement</w:t>
      </w:r>
      <w:r>
        <w:rPr/>
        <w:t>") dated September 9, 1996, governing Operator's provision of operations and maintenance services for Owner's electric motor driver equipment at Operator's Bisti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calculated by the Operator based on all costs, liabilities, fees, and expenses incurred by Operator to operate and maintain the Compressor Motor Facilities in accordance with this Agreement.  In no event shall the total of all Operation and Maintenance Fees for any Contract Year exceed $____________.  Any costs, liabilities, fees, and expenses incurred by Operator under this Agreement in excess of $___________ during any Contract Year shall be borne solely by the Operator.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The Operating and Maintenance Fee for the immediately preceding month shall be paid by Owner to Operator within 15 days of the 1st day of each month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1999-06-13T17:16:00Z</dcterms:created>
  <dc:creator>gnemec</dc:creator>
  <dc:description/>
  <dc:language>en-CA</dc:language>
  <cp:lastModifiedBy>gnemec</cp:lastModifiedBy>
  <cp:lastPrinted>1999-06-14T16:05:00Z</cp:lastPrinted>
  <dcterms:modified xsi:type="dcterms:W3CDTF">1999-06-14T18:40:00Z</dcterms:modified>
  <cp:revision>19</cp:revision>
  <dc:subject/>
  <dc:title>AMENDMENT</dc:title>
</cp:coreProperties>
</file>