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720" w:leader="none"/>
          <w:tab w:val="left" w:pos="0" w:leader="none"/>
          <w:tab w:val="left" w:pos="1080" w:leader="none"/>
          <w:tab w:val="left" w:pos="1440" w:leader="none"/>
          <w:tab w:val="left" w:pos="1800" w:leader="none"/>
          <w:tab w:val="left" w:pos="2160" w:leader="none"/>
          <w:tab w:val="left" w:pos="2520" w:leader="none"/>
          <w:tab w:val="left" w:pos="2880" w:leader="none"/>
        </w:tabs>
        <w:spacing w:lineRule="atLeast" w:line="172"/>
        <w:rPr>
          <w:rFonts w:ascii="TmsRmn 10pt Bold;Times New Roman" w:hAnsi="TmsRmn 10pt Bold;Times New Roman" w:cs="TmsRmn 10pt Bold;Times New Roman"/>
          <w:b/>
        </w:rPr>
      </w:pPr>
      <w:r>
        <w:rPr>
          <w:rFonts w:cs="CG Times Bold;Times New Roman" w:ascii="CG Times Bold;Times New Roman" w:hAnsi="CG Times Bold;Times New Roman"/>
          <w:b/>
          <w:smallCaps/>
          <w:sz w:val="36"/>
        </w:rPr>
        <w:t>Energy and Environmental Analysis, Inc.</w:t>
      </w:r>
      <w:r>
        <w:rPr>
          <w:rFonts w:cs="TmsRmn 10pt Bold;Times New Roman" w:ascii="TmsRmn 10pt Bold;Times New Roman" w:hAnsi="TmsRmn 10pt Bold;Times New Roman"/>
          <w:b/>
          <w:u w:val="single"/>
        </w:rPr>
        <w:t xml:space="preserve"> </w:t>
      </w:r>
      <w:r>
        <mc:AlternateContent>
          <mc:Choice Requires="wps">
            <w:drawing>
              <wp:anchor behindDoc="1" distT="0" distB="0" distL="114935" distR="114935" simplePos="0" locked="0" layoutInCell="0" allowOverlap="1" relativeHeight="2">
                <wp:simplePos x="0" y="0"/>
                <wp:positionH relativeFrom="margin">
                  <wp:posOffset>5852160</wp:posOffset>
                </wp:positionH>
                <wp:positionV relativeFrom="paragraph">
                  <wp:posOffset>-45720</wp:posOffset>
                </wp:positionV>
                <wp:extent cx="845185" cy="635635"/>
                <wp:effectExtent l="0" t="0" r="0" b="0"/>
                <wp:wrapNone/>
                <wp:docPr id="1" name="Frame1"/>
                <a:graphic xmlns:a="http://schemas.openxmlformats.org/drawingml/2006/main">
                  <a:graphicData uri="http://schemas.microsoft.com/office/word/2010/wordprocessingShape">
                    <wps:wsp>
                      <wps:cNvSpPr txBox="1"/>
                      <wps:spPr>
                        <a:xfrm>
                          <a:off x="0" y="0"/>
                          <a:ext cx="845185" cy="635635"/>
                        </a:xfrm>
                        <a:prstGeom prst="rect"/>
                        <a:solidFill>
                          <a:srgbClr val="FFFFFF"/>
                        </a:solidFill>
                      </wps:spPr>
                      <wps:txbx>
                        <w:txbxContent>
                          <w:p>
                            <w:pPr>
                              <w:pStyle w:val="Normal"/>
                              <w:pBdr>
                                <w:top w:val="single" w:sz="2" w:space="0" w:color="FFFFFF"/>
                              </w:pBdr>
                              <w:tabs>
                                <w:tab w:val="left" w:pos="0" w:leader="none"/>
                                <w:tab w:val="left" w:pos="720" w:leader="none"/>
                              </w:tabs>
                              <w:rPr/>
                            </w:pPr>
                            <w:r>
                              <w:rPr/>
                              <w:drawing>
                                <wp:inline distT="0" distB="0" distL="0" distR="0">
                                  <wp:extent cx="845820" cy="64008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0" t="1304" r="0" b="1387"/>
                                          <a:stretch>
                                            <a:fillRect/>
                                          </a:stretch>
                                        </pic:blipFill>
                                        <pic:spPr bwMode="auto">
                                          <a:xfrm>
                                            <a:off x="0" y="0"/>
                                            <a:ext cx="845820" cy="64008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66.55pt;height:50.05pt;mso-wrap-distance-left:9.05pt;mso-wrap-distance-right:9.05pt;mso-wrap-distance-top:0pt;mso-wrap-distance-bottom:0pt;margin-top:-3.6pt;mso-position-vertical-relative:text;margin-left:460.8pt;mso-position-horizontal-relative:margin">
                <v:textbox inset="0.000694444444444445in,0.000694444444444445in,0.000694444444444445in,0.000694444444444445in">
                  <w:txbxContent>
                    <w:p>
                      <w:pPr>
                        <w:pStyle w:val="Normal"/>
                        <w:pBdr>
                          <w:top w:val="single" w:sz="2" w:space="0" w:color="FFFFFF"/>
                        </w:pBdr>
                        <w:tabs>
                          <w:tab w:val="left" w:pos="0" w:leader="none"/>
                          <w:tab w:val="left" w:pos="720" w:leader="none"/>
                        </w:tabs>
                        <w:rPr/>
                      </w:pPr>
                      <w:r>
                        <w:rPr/>
                        <w:drawing>
                          <wp:inline distT="0" distB="0" distL="0" distR="0">
                            <wp:extent cx="845820" cy="64008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0" t="1304" r="0" b="1387"/>
                                    <a:stretch>
                                      <a:fillRect/>
                                    </a:stretch>
                                  </pic:blipFill>
                                  <pic:spPr bwMode="auto">
                                    <a:xfrm>
                                      <a:off x="0" y="0"/>
                                      <a:ext cx="845820" cy="640080"/>
                                    </a:xfrm>
                                    <a:prstGeom prst="rect">
                                      <a:avLst/>
                                    </a:prstGeom>
                                    <a:noFill/>
                                  </pic:spPr>
                                </pic:pic>
                              </a:graphicData>
                            </a:graphic>
                          </wp:inline>
                        </w:drawing>
                      </w:r>
                    </w:p>
                  </w:txbxContent>
                </v:textbox>
                <w10:wrap type="none"/>
              </v:rect>
            </w:pict>
          </mc:Fallback>
        </mc:AlternateContent>
      </w:r>
    </w:p>
    <w:p>
      <w:pPr>
        <w:pStyle w:val="Normal"/>
        <w:tabs>
          <w:tab w:val="clear" w:pos="720"/>
          <w:tab w:val="left" w:pos="-720" w:leader="none"/>
          <w:tab w:val="left" w:pos="0" w:leader="none"/>
          <w:tab w:val="left" w:pos="1080" w:leader="none"/>
          <w:tab w:val="left" w:pos="1440" w:leader="none"/>
          <w:tab w:val="left" w:pos="1800" w:leader="none"/>
          <w:tab w:val="left" w:pos="2160" w:leader="none"/>
          <w:tab w:val="left" w:pos="2520" w:leader="none"/>
          <w:tab w:val="left" w:pos="2880" w:leader="none"/>
        </w:tabs>
        <w:spacing w:lineRule="auto" w:line="360" w:before="120" w:after="0"/>
        <w:rPr>
          <w:sz w:val="18"/>
        </w:rPr>
      </w:pPr>
      <w:r>
        <w:rPr>
          <w:sz w:val="18"/>
        </w:rPr>
        <w:t>1655 NORTH FORT MYER DRIVE  ARLINGTON, VIRGINIA 22209     FAX: 703/528-5106   TEL: 703/528-1900</w:t>
      </w:r>
    </w:p>
    <w:p>
      <w:pPr>
        <w:sectPr>
          <w:footerReference w:type="default" r:id="rId4"/>
          <w:type w:val="nextPage"/>
          <w:pgSz w:w="12240" w:h="15840"/>
          <w:pgMar w:left="720" w:right="720" w:gutter="0" w:header="0" w:top="864" w:footer="360" w:bottom="416"/>
          <w:pgNumType w:fmt="decimal"/>
          <w:formProt w:val="false"/>
          <w:textDirection w:val="lrTb"/>
          <w:docGrid w:type="default" w:linePitch="360" w:charSpace="0"/>
        </w:sectPr>
      </w:pPr>
    </w:p>
    <w:p>
      <w:pPr>
        <w:pStyle w:val="Normal"/>
        <w:tabs>
          <w:tab w:val="clear" w:pos="720"/>
          <w:tab w:val="left" w:pos="-720" w:leader="none"/>
          <w:tab w:val="left" w:pos="0" w:leader="none"/>
        </w:tabs>
        <w:spacing w:lineRule="auto" w:line="360"/>
        <w:rPr>
          <w:sz w:val="18"/>
        </w:rPr>
      </w:pPr>
      <w:r>
        <w:rPr>
          <w:sz w:val="18"/>
        </w:rPr>
      </w:r>
    </w:p>
    <w:p>
      <w:pPr>
        <w:pStyle w:val="Normal"/>
        <w:tabs>
          <w:tab w:val="clear" w:pos="720"/>
          <w:tab w:val="right" w:pos="9360" w:leader="none"/>
        </w:tabs>
        <w:suppressAutoHyphens w:val="true"/>
        <w:rPr/>
      </w:pPr>
      <w:r>
        <w:rPr/>
        <w:tab/>
      </w:r>
      <w:r>
        <w:rPr/>
        <w:fldChar w:fldCharType="begin"/>
      </w:r>
      <w:r>
        <w:rPr/>
        <w:instrText xml:space="preserve"> DATE \@"MMMM\ d', 'yyyy" </w:instrText>
      </w:r>
      <w:r>
        <w:rPr/>
        <w:fldChar w:fldCharType="separate"/>
      </w:r>
      <w:r>
        <w:rPr/>
        <w:t>September 28, 2025</w:t>
      </w:r>
      <w:r>
        <w:rPr/>
        <w:fldChar w:fldCharType="end"/>
      </w:r>
    </w:p>
    <w:p>
      <w:pPr>
        <w:pStyle w:val="Normal"/>
        <w:tabs>
          <w:tab w:val="clear" w:pos="720"/>
          <w:tab w:val="right" w:pos="1399" w:leader="none"/>
          <w:tab w:val="left" w:pos="1780" w:leader="none"/>
          <w:tab w:val="left" w:pos="7250" w:leader="none"/>
        </w:tabs>
        <w:suppressAutoHyphens w:val="true"/>
        <w:rPr/>
      </w:pPr>
      <w:r>
        <w:rPr/>
      </w:r>
    </w:p>
    <w:p>
      <w:pPr>
        <w:pStyle w:val="Normal"/>
        <w:tabs>
          <w:tab w:val="clear" w:pos="720"/>
          <w:tab w:val="right" w:pos="1399" w:leader="none"/>
          <w:tab w:val="left" w:pos="1780" w:leader="none"/>
          <w:tab w:val="left" w:pos="7250" w:leader="none"/>
        </w:tabs>
        <w:suppressAutoHyphens w:val="true"/>
        <w:rPr>
          <w:b/>
        </w:rPr>
      </w:pPr>
      <w:r>
        <w:rPr>
          <w:b/>
        </w:rPr>
        <w:t>MEMORANDUM</w:t>
      </w:r>
    </w:p>
    <w:p>
      <w:pPr>
        <w:pStyle w:val="Normal"/>
        <w:tabs>
          <w:tab w:val="clear" w:pos="720"/>
          <w:tab w:val="right" w:pos="1399" w:leader="none"/>
          <w:tab w:val="left" w:pos="1780" w:leader="none"/>
          <w:tab w:val="left" w:pos="7250" w:leader="none"/>
        </w:tabs>
        <w:suppressAutoHyphens w:val="true"/>
        <w:rPr/>
      </w:pPr>
      <w:r>
        <w:rPr/>
      </w:r>
    </w:p>
    <w:p>
      <w:pPr>
        <w:pStyle w:val="Normal"/>
        <w:tabs>
          <w:tab w:val="clear" w:pos="720"/>
          <w:tab w:val="right" w:pos="1399" w:leader="none"/>
          <w:tab w:val="left" w:pos="1780" w:leader="none"/>
          <w:tab w:val="left" w:pos="7250" w:leader="none"/>
        </w:tabs>
        <w:suppressAutoHyphens w:val="true"/>
        <w:rPr/>
      </w:pPr>
      <w:r>
        <w:rPr>
          <w:b/>
        </w:rPr>
        <w:tab/>
        <w:t>TO:</w:t>
      </w:r>
      <w:r>
        <w:rPr/>
        <w:tab/>
        <w:t>Mary Schoen</w:t>
      </w:r>
    </w:p>
    <w:p>
      <w:pPr>
        <w:pStyle w:val="Normal"/>
        <w:tabs>
          <w:tab w:val="clear" w:pos="720"/>
          <w:tab w:val="right" w:pos="1399" w:leader="none"/>
          <w:tab w:val="left" w:pos="1780" w:leader="none"/>
          <w:tab w:val="left" w:pos="7250" w:leader="none"/>
        </w:tabs>
        <w:suppressAutoHyphens w:val="true"/>
        <w:rPr/>
      </w:pPr>
      <w:r>
        <w:rPr/>
      </w:r>
    </w:p>
    <w:p>
      <w:pPr>
        <w:pStyle w:val="Normal"/>
        <w:tabs>
          <w:tab w:val="clear" w:pos="720"/>
          <w:tab w:val="right" w:pos="1399" w:leader="none"/>
          <w:tab w:val="left" w:pos="1780" w:leader="none"/>
          <w:tab w:val="left" w:pos="7250" w:leader="none"/>
        </w:tabs>
        <w:suppressAutoHyphens w:val="true"/>
        <w:rPr/>
      </w:pPr>
      <w:r>
        <w:rPr>
          <w:b/>
        </w:rPr>
        <w:tab/>
        <w:t>FROM:</w:t>
      </w:r>
      <w:r>
        <w:rPr/>
        <w:tab/>
        <w:t>Joel Bluestein, Sara Hayes</w:t>
      </w:r>
    </w:p>
    <w:p>
      <w:pPr>
        <w:pStyle w:val="Normal"/>
        <w:tabs>
          <w:tab w:val="clear" w:pos="720"/>
          <w:tab w:val="right" w:pos="1399" w:leader="none"/>
          <w:tab w:val="left" w:pos="1780" w:leader="none"/>
          <w:tab w:val="left" w:pos="7250" w:leader="none"/>
        </w:tabs>
        <w:suppressAutoHyphens w:val="true"/>
        <w:rPr/>
      </w:pPr>
      <w:r>
        <w:rPr/>
      </w:r>
    </w:p>
    <w:p>
      <w:pPr>
        <w:pStyle w:val="Normal"/>
        <w:tabs>
          <w:tab w:val="clear" w:pos="720"/>
          <w:tab w:val="right" w:pos="1399" w:leader="none"/>
          <w:tab w:val="left" w:pos="1780" w:leader="none"/>
          <w:tab w:val="left" w:pos="7250" w:leader="none"/>
        </w:tabs>
        <w:suppressAutoHyphens w:val="true"/>
        <w:rPr/>
      </w:pPr>
      <w:r>
        <w:rPr>
          <w:b/>
        </w:rPr>
        <w:tab/>
        <w:t>SUBJECT:</w:t>
      </w:r>
      <w:r>
        <w:rPr/>
        <w:tab/>
        <w:t>OTR NO</w:t>
      </w:r>
      <w:r>
        <w:rPr>
          <w:vertAlign w:val="subscript"/>
        </w:rPr>
        <w:t>x</w:t>
      </w:r>
      <w:r>
        <w:rPr/>
        <w:t xml:space="preserve"> Emissions/Allowance Balance</w:t>
      </w:r>
    </w:p>
    <w:p>
      <w:pPr>
        <w:pStyle w:val="Normal"/>
        <w:pBdr>
          <w:bottom w:val="double" w:sz="6" w:space="1" w:color="000000"/>
        </w:pBdr>
        <w:tabs>
          <w:tab w:val="clear" w:pos="720"/>
          <w:tab w:val="right" w:pos="1399" w:leader="none"/>
          <w:tab w:val="left" w:pos="1780" w:leader="none"/>
          <w:tab w:val="left" w:pos="7250" w:leader="none"/>
        </w:tabs>
        <w:suppressAutoHyphens w:val="true"/>
        <w:rPr/>
      </w:pPr>
      <w:r>
        <w:rPr/>
      </w:r>
    </w:p>
    <w:p>
      <w:pPr>
        <w:pStyle w:val="Normal"/>
        <w:tabs>
          <w:tab w:val="clear" w:pos="720"/>
          <w:tab w:val="left" w:pos="-720" w:leader="none"/>
        </w:tabs>
        <w:rPr/>
      </w:pPr>
      <w:r>
        <w:rPr/>
      </w:r>
    </w:p>
    <w:p>
      <w:pPr>
        <w:pStyle w:val="Normal"/>
        <w:rPr/>
      </w:pPr>
      <w:r>
        <w:rPr/>
        <w:t>The following table provides a rough outlook of the potential OTR NO</w:t>
      </w:r>
      <w:r>
        <w:rPr>
          <w:vertAlign w:val="subscript"/>
        </w:rPr>
        <w:t>x</w:t>
      </w:r>
      <w:r>
        <w:rPr/>
        <w:t xml:space="preserve"> allowance situation in 2003.  It shows actual Ozone Season emissions in 1999 and 2000 as well as an estimate of 2001 Ozone Season emissions (actual emissions for 2001 should be released by the EPA by the end of November).  The fourth and fifth columns show state budgets for 2003 (combined for EGUs and non-EGUs) and each state's Compliance Supplement Pool, respectively.  </w:t>
      </w:r>
    </w:p>
    <w:p>
      <w:pPr>
        <w:pStyle w:val="Normal"/>
        <w:rPr/>
      </w:pPr>
      <w:r>
        <w:rPr/>
      </w:r>
    </w:p>
    <w:p>
      <w:pPr>
        <w:pStyle w:val="Normal"/>
        <w:jc w:val="center"/>
        <w:rPr/>
      </w:pPr>
      <w:r>
        <w:rPr>
          <w:b/>
        </w:rPr>
        <w:t>OTR NO</w:t>
      </w:r>
      <w:r>
        <w:rPr>
          <w:b/>
          <w:vertAlign w:val="subscript"/>
        </w:rPr>
        <w:t>x</w:t>
      </w:r>
      <w:r>
        <w:rPr/>
        <w:t xml:space="preserve"> Allowance Balances</w:t>
      </w:r>
    </w:p>
    <w:tbl>
      <w:tblPr>
        <w:tblW w:w="7680" w:type="dxa"/>
        <w:jc w:val="center"/>
        <w:tblInd w:w="0" w:type="dxa"/>
        <w:tblLayout w:type="fixed"/>
        <w:tblCellMar>
          <w:top w:w="0" w:type="dxa"/>
          <w:start w:w="30" w:type="dxa"/>
          <w:bottom w:w="0" w:type="dxa"/>
          <w:end w:w="30" w:type="dxa"/>
        </w:tblCellMar>
      </w:tblPr>
      <w:tblGrid>
        <w:gridCol w:w="1562"/>
        <w:gridCol w:w="1168"/>
        <w:gridCol w:w="1170"/>
        <w:gridCol w:w="1170"/>
        <w:gridCol w:w="1260"/>
        <w:gridCol w:w="1350"/>
      </w:tblGrid>
      <w:tr>
        <w:trPr>
          <w:trHeight w:val="989" w:hRule="atLeast"/>
        </w:trPr>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lang w:eastAsia="en-US"/>
              </w:rPr>
            </w:pPr>
            <w:r>
              <w:rPr>
                <w:b/>
                <w:color w:val="000000"/>
                <w:lang w:eastAsia="en-US"/>
              </w:rPr>
            </w:r>
          </w:p>
        </w:tc>
        <w:tc>
          <w:tcPr>
            <w:tcW w:w="116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lang w:eastAsia="en-US"/>
              </w:rPr>
            </w:pPr>
            <w:r>
              <w:rPr>
                <w:b/>
                <w:color w:val="000000"/>
                <w:lang w:eastAsia="en-US"/>
              </w:rPr>
              <w:t>1999 Emissions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lang w:eastAsia="en-US"/>
              </w:rPr>
            </w:pPr>
            <w:r>
              <w:rPr>
                <w:b/>
                <w:color w:val="000000"/>
                <w:lang w:eastAsia="en-US"/>
              </w:rPr>
              <w:t>2000 Emissions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lang w:eastAsia="en-US"/>
              </w:rPr>
            </w:pPr>
            <w:r>
              <w:rPr>
                <w:b/>
                <w:color w:val="000000"/>
                <w:lang w:eastAsia="en-US"/>
              </w:rPr>
              <w:t>Estimated 2001 Emissions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lang w:eastAsia="en-US"/>
              </w:rPr>
            </w:pPr>
            <w:r>
              <w:rPr>
                <w:b/>
                <w:color w:val="000000"/>
                <w:lang w:eastAsia="en-US"/>
              </w:rPr>
              <w:t>2003 Allocations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lang w:eastAsia="en-US"/>
              </w:rPr>
            </w:pPr>
            <w:r>
              <w:rPr>
                <w:b/>
                <w:color w:val="000000"/>
                <w:lang w:eastAsia="en-US"/>
              </w:rPr>
              <w:t>Compliance Supplement Pool</w:t>
            </w:r>
          </w:p>
        </w:tc>
      </w:tr>
      <w:tr>
        <w:trPr>
          <w:trHeight w:val="247" w:hRule="atLeast"/>
        </w:trPr>
        <w:tc>
          <w:tcPr>
            <w:tcW w:w="1562" w:type="dxa"/>
            <w:tcBorders>
              <w:top w:val="single" w:sz="6" w:space="0" w:color="000000"/>
              <w:start w:val="single" w:sz="6" w:space="0" w:color="000000"/>
              <w:bottom w:val="single" w:sz="6" w:space="0" w:color="000000"/>
              <w:end w:val="single" w:sz="6" w:space="0" w:color="000000"/>
            </w:tcBorders>
          </w:tcPr>
          <w:p>
            <w:pPr>
              <w:pStyle w:val="Normal"/>
              <w:rPr>
                <w:b/>
                <w:color w:val="000000"/>
                <w:lang w:eastAsia="en-US"/>
              </w:rPr>
            </w:pPr>
            <w:r>
              <w:rPr>
                <w:b/>
                <w:color w:val="000000"/>
                <w:lang w:eastAsia="en-US"/>
              </w:rPr>
              <w:t>Connecticut</w:t>
            </w:r>
          </w:p>
        </w:tc>
        <w:tc>
          <w:tcPr>
            <w:tcW w:w="1168"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5,830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5,248</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lang w:eastAsia="en-US"/>
              </w:rPr>
            </w:pPr>
            <w:r>
              <w:rPr>
                <w:color w:val="000000"/>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4,477</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473</w:t>
            </w:r>
          </w:p>
        </w:tc>
      </w:tr>
      <w:tr>
        <w:trPr>
          <w:trHeight w:val="247" w:hRule="atLeast"/>
        </w:trPr>
        <w:tc>
          <w:tcPr>
            <w:tcW w:w="1562" w:type="dxa"/>
            <w:tcBorders>
              <w:top w:val="single" w:sz="6" w:space="0" w:color="000000"/>
              <w:start w:val="single" w:sz="6" w:space="0" w:color="000000"/>
              <w:bottom w:val="single" w:sz="6" w:space="0" w:color="000000"/>
              <w:end w:val="single" w:sz="6" w:space="0" w:color="000000"/>
            </w:tcBorders>
          </w:tcPr>
          <w:p>
            <w:pPr>
              <w:pStyle w:val="Normal"/>
              <w:rPr>
                <w:b/>
                <w:color w:val="000000"/>
                <w:lang w:eastAsia="en-US"/>
              </w:rPr>
            </w:pPr>
            <w:r>
              <w:rPr>
                <w:b/>
                <w:color w:val="000000"/>
                <w:lang w:eastAsia="en-US"/>
              </w:rPr>
              <w:t>Delaware</w:t>
            </w:r>
          </w:p>
        </w:tc>
        <w:tc>
          <w:tcPr>
            <w:tcW w:w="1168"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6,160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5,256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lang w:eastAsia="en-US"/>
              </w:rPr>
            </w:pPr>
            <w:r>
              <w:rPr>
                <w:color w:val="000000"/>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5,227</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168</w:t>
            </w:r>
          </w:p>
        </w:tc>
      </w:tr>
      <w:tr>
        <w:trPr>
          <w:trHeight w:val="247" w:hRule="atLeast"/>
        </w:trPr>
        <w:tc>
          <w:tcPr>
            <w:tcW w:w="1562" w:type="dxa"/>
            <w:tcBorders>
              <w:top w:val="single" w:sz="6" w:space="0" w:color="000000"/>
              <w:start w:val="single" w:sz="6" w:space="0" w:color="000000"/>
              <w:bottom w:val="single" w:sz="6" w:space="0" w:color="000000"/>
              <w:end w:val="single" w:sz="6" w:space="0" w:color="000000"/>
            </w:tcBorders>
          </w:tcPr>
          <w:p>
            <w:pPr>
              <w:pStyle w:val="Normal"/>
              <w:rPr>
                <w:b/>
                <w:color w:val="000000"/>
                <w:lang w:eastAsia="en-US"/>
              </w:rPr>
            </w:pPr>
            <w:r>
              <w:rPr>
                <w:b/>
                <w:color w:val="000000"/>
                <w:lang w:eastAsia="en-US"/>
              </w:rPr>
              <w:t>DC</w:t>
            </w:r>
          </w:p>
        </w:tc>
        <w:tc>
          <w:tcPr>
            <w:tcW w:w="116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lang w:eastAsia="en-US"/>
              </w:rPr>
            </w:pPr>
            <w:r>
              <w:rPr>
                <w:b/>
                <w:color w:val="000000"/>
                <w:lang w:eastAsia="en-US"/>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lang w:eastAsia="en-US"/>
              </w:rPr>
            </w:pPr>
            <w:r>
              <w:rPr>
                <w:color w:val="000000"/>
                <w:lang w:eastAsia="en-US"/>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lang w:eastAsia="en-US"/>
              </w:rPr>
            </w:pPr>
            <w:r>
              <w:rPr>
                <w:color w:val="000000"/>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207</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NA</w:t>
            </w:r>
          </w:p>
        </w:tc>
      </w:tr>
      <w:tr>
        <w:trPr>
          <w:trHeight w:val="247" w:hRule="atLeast"/>
        </w:trPr>
        <w:tc>
          <w:tcPr>
            <w:tcW w:w="1562" w:type="dxa"/>
            <w:tcBorders>
              <w:top w:val="single" w:sz="6" w:space="0" w:color="000000"/>
              <w:start w:val="single" w:sz="6" w:space="0" w:color="000000"/>
              <w:bottom w:val="single" w:sz="6" w:space="0" w:color="000000"/>
              <w:end w:val="single" w:sz="6" w:space="0" w:color="000000"/>
            </w:tcBorders>
          </w:tcPr>
          <w:p>
            <w:pPr>
              <w:pStyle w:val="Normal"/>
              <w:rPr>
                <w:b/>
                <w:color w:val="000000"/>
                <w:lang w:eastAsia="en-US"/>
              </w:rPr>
            </w:pPr>
            <w:r>
              <w:rPr>
                <w:b/>
                <w:color w:val="000000"/>
                <w:lang w:eastAsia="en-US"/>
              </w:rPr>
              <w:t>Maryland</w:t>
            </w:r>
          </w:p>
        </w:tc>
        <w:tc>
          <w:tcPr>
            <w:tcW w:w="1168"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N/A</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30,971</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lang w:eastAsia="en-US"/>
              </w:rPr>
            </w:pPr>
            <w:r>
              <w:rPr>
                <w:color w:val="000000"/>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14,740</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3,840</w:t>
            </w:r>
          </w:p>
        </w:tc>
      </w:tr>
      <w:tr>
        <w:trPr>
          <w:trHeight w:val="247" w:hRule="atLeast"/>
        </w:trPr>
        <w:tc>
          <w:tcPr>
            <w:tcW w:w="1562" w:type="dxa"/>
            <w:tcBorders>
              <w:top w:val="single" w:sz="6" w:space="0" w:color="000000"/>
              <w:start w:val="single" w:sz="6" w:space="0" w:color="000000"/>
              <w:bottom w:val="single" w:sz="6" w:space="0" w:color="000000"/>
              <w:end w:val="single" w:sz="6" w:space="0" w:color="000000"/>
            </w:tcBorders>
          </w:tcPr>
          <w:p>
            <w:pPr>
              <w:pStyle w:val="Normal"/>
              <w:rPr>
                <w:b/>
                <w:color w:val="000000"/>
                <w:lang w:eastAsia="en-US"/>
              </w:rPr>
            </w:pPr>
            <w:r>
              <w:rPr>
                <w:b/>
                <w:color w:val="000000"/>
                <w:lang w:eastAsia="en-US"/>
              </w:rPr>
              <w:t>Massachusetts</w:t>
            </w:r>
          </w:p>
        </w:tc>
        <w:tc>
          <w:tcPr>
            <w:tcW w:w="1168"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17,293</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14,342</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lang w:eastAsia="en-US"/>
              </w:rPr>
            </w:pPr>
            <w:r>
              <w:rPr>
                <w:color w:val="000000"/>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11,575</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473</w:t>
            </w:r>
          </w:p>
        </w:tc>
      </w:tr>
      <w:tr>
        <w:trPr>
          <w:trHeight w:val="494" w:hRule="atLeast"/>
        </w:trPr>
        <w:tc>
          <w:tcPr>
            <w:tcW w:w="1562" w:type="dxa"/>
            <w:tcBorders>
              <w:top w:val="single" w:sz="6" w:space="0" w:color="000000"/>
              <w:start w:val="single" w:sz="6" w:space="0" w:color="000000"/>
              <w:bottom w:val="single" w:sz="6" w:space="0" w:color="000000"/>
              <w:end w:val="single" w:sz="6" w:space="0" w:color="000000"/>
            </w:tcBorders>
          </w:tcPr>
          <w:p>
            <w:pPr>
              <w:pStyle w:val="Normal"/>
              <w:rPr>
                <w:b/>
                <w:color w:val="000000"/>
                <w:lang w:eastAsia="en-US"/>
              </w:rPr>
            </w:pPr>
            <w:r>
              <w:rPr>
                <w:b/>
                <w:color w:val="000000"/>
                <w:lang w:eastAsia="en-US"/>
              </w:rPr>
              <w:t>New Hampshire</w:t>
            </w:r>
          </w:p>
        </w:tc>
        <w:tc>
          <w:tcPr>
            <w:tcW w:w="1168"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3,463</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2,053</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lang w:eastAsia="en-US"/>
              </w:rPr>
            </w:pPr>
            <w:r>
              <w:rPr>
                <w:color w:val="000000"/>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NA</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NA</w:t>
            </w:r>
          </w:p>
        </w:tc>
      </w:tr>
      <w:tr>
        <w:trPr>
          <w:trHeight w:val="247" w:hRule="atLeast"/>
        </w:trPr>
        <w:tc>
          <w:tcPr>
            <w:tcW w:w="1562" w:type="dxa"/>
            <w:tcBorders>
              <w:top w:val="single" w:sz="6" w:space="0" w:color="000000"/>
              <w:start w:val="single" w:sz="6" w:space="0" w:color="000000"/>
              <w:bottom w:val="single" w:sz="6" w:space="0" w:color="000000"/>
              <w:end w:val="single" w:sz="6" w:space="0" w:color="000000"/>
            </w:tcBorders>
          </w:tcPr>
          <w:p>
            <w:pPr>
              <w:pStyle w:val="Normal"/>
              <w:rPr>
                <w:b/>
                <w:color w:val="000000"/>
                <w:lang w:eastAsia="en-US"/>
              </w:rPr>
            </w:pPr>
            <w:r>
              <w:rPr>
                <w:b/>
                <w:color w:val="000000"/>
                <w:lang w:eastAsia="en-US"/>
              </w:rPr>
              <w:t>New Jersey</w:t>
            </w:r>
          </w:p>
        </w:tc>
        <w:tc>
          <w:tcPr>
            <w:tcW w:w="1168"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15,390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14,841</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lang w:eastAsia="en-US"/>
              </w:rPr>
            </w:pPr>
            <w:r>
              <w:rPr>
                <w:color w:val="000000"/>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8,200</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1,550</w:t>
            </w:r>
          </w:p>
        </w:tc>
      </w:tr>
      <w:tr>
        <w:trPr>
          <w:trHeight w:val="247" w:hRule="atLeast"/>
        </w:trPr>
        <w:tc>
          <w:tcPr>
            <w:tcW w:w="1562" w:type="dxa"/>
            <w:tcBorders>
              <w:top w:val="single" w:sz="6" w:space="0" w:color="000000"/>
              <w:start w:val="single" w:sz="6" w:space="0" w:color="000000"/>
              <w:bottom w:val="single" w:sz="6" w:space="0" w:color="000000"/>
              <w:end w:val="single" w:sz="6" w:space="0" w:color="000000"/>
            </w:tcBorders>
          </w:tcPr>
          <w:p>
            <w:pPr>
              <w:pStyle w:val="Normal"/>
              <w:rPr>
                <w:b/>
                <w:color w:val="000000"/>
                <w:lang w:eastAsia="en-US"/>
              </w:rPr>
            </w:pPr>
            <w:r>
              <w:rPr>
                <w:b/>
                <w:color w:val="000000"/>
                <w:lang w:eastAsia="en-US"/>
              </w:rPr>
              <w:t>New York</w:t>
            </w:r>
          </w:p>
        </w:tc>
        <w:tc>
          <w:tcPr>
            <w:tcW w:w="1168"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47,267</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44,096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lang w:eastAsia="en-US"/>
              </w:rPr>
            </w:pPr>
            <w:r>
              <w:rPr>
                <w:color w:val="000000"/>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41,350</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2,370</w:t>
            </w:r>
          </w:p>
        </w:tc>
      </w:tr>
      <w:tr>
        <w:trPr>
          <w:trHeight w:val="247" w:hRule="atLeast"/>
        </w:trPr>
        <w:tc>
          <w:tcPr>
            <w:tcW w:w="1562" w:type="dxa"/>
            <w:tcBorders>
              <w:top w:val="single" w:sz="6" w:space="0" w:color="000000"/>
              <w:start w:val="single" w:sz="6" w:space="0" w:color="000000"/>
              <w:bottom w:val="single" w:sz="6" w:space="0" w:color="000000"/>
              <w:end w:val="single" w:sz="6" w:space="0" w:color="000000"/>
            </w:tcBorders>
          </w:tcPr>
          <w:p>
            <w:pPr>
              <w:pStyle w:val="Normal"/>
              <w:rPr>
                <w:b/>
                <w:color w:val="000000"/>
                <w:lang w:eastAsia="en-US"/>
              </w:rPr>
            </w:pPr>
            <w:r>
              <w:rPr>
                <w:b/>
                <w:color w:val="000000"/>
                <w:lang w:eastAsia="en-US"/>
              </w:rPr>
              <w:t>Pennsylvania</w:t>
            </w:r>
          </w:p>
        </w:tc>
        <w:tc>
          <w:tcPr>
            <w:tcW w:w="1168"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79,166</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106,595</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lang w:eastAsia="en-US"/>
              </w:rPr>
            </w:pPr>
            <w:r>
              <w:rPr>
                <w:color w:val="000000"/>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50,843</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15,763</w:t>
            </w:r>
          </w:p>
        </w:tc>
      </w:tr>
      <w:tr>
        <w:trPr>
          <w:trHeight w:val="247" w:hRule="atLeast"/>
        </w:trPr>
        <w:tc>
          <w:tcPr>
            <w:tcW w:w="1562" w:type="dxa"/>
            <w:tcBorders>
              <w:top w:val="single" w:sz="6" w:space="0" w:color="000000"/>
              <w:start w:val="single" w:sz="6" w:space="0" w:color="000000"/>
              <w:bottom w:val="single" w:sz="6" w:space="0" w:color="000000"/>
              <w:end w:val="single" w:sz="6" w:space="0" w:color="000000"/>
            </w:tcBorders>
          </w:tcPr>
          <w:p>
            <w:pPr>
              <w:pStyle w:val="Normal"/>
              <w:rPr>
                <w:b/>
                <w:color w:val="000000"/>
                <w:lang w:eastAsia="en-US"/>
              </w:rPr>
            </w:pPr>
            <w:r>
              <w:rPr>
                <w:b/>
                <w:color w:val="000000"/>
                <w:lang w:eastAsia="en-US"/>
              </w:rPr>
              <w:t>Rhode Island</w:t>
            </w:r>
          </w:p>
        </w:tc>
        <w:tc>
          <w:tcPr>
            <w:tcW w:w="1168"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274</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281</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lang w:eastAsia="en-US"/>
              </w:rPr>
            </w:pPr>
            <w:r>
              <w:rPr>
                <w:color w:val="000000"/>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625</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lang w:eastAsia="en-US"/>
              </w:rPr>
            </w:pPr>
            <w:r>
              <w:rPr>
                <w:color w:val="000000"/>
                <w:lang w:eastAsia="en-US"/>
              </w:rPr>
              <w:t>15</w:t>
            </w:r>
          </w:p>
        </w:tc>
      </w:tr>
      <w:tr>
        <w:trPr>
          <w:trHeight w:val="247" w:hRule="atLeast"/>
        </w:trPr>
        <w:tc>
          <w:tcPr>
            <w:tcW w:w="1562"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Totals</w:t>
            </w:r>
          </w:p>
        </w:tc>
        <w:tc>
          <w:tcPr>
            <w:tcW w:w="116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lang w:eastAsia="en-US"/>
              </w:rPr>
            </w:pPr>
            <w:r>
              <w:rPr>
                <w:b/>
                <w:color w:val="000000"/>
                <w:lang w:eastAsia="en-US"/>
              </w:rPr>
              <w:t>174,843</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lang w:eastAsia="en-US"/>
              </w:rPr>
            </w:pPr>
            <w:r>
              <w:rPr>
                <w:b/>
                <w:color w:val="000000"/>
                <w:lang w:eastAsia="en-US"/>
              </w:rPr>
              <w:t>223,683</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lang w:eastAsia="en-US"/>
              </w:rPr>
            </w:pPr>
            <w:r>
              <w:rPr>
                <w:b/>
                <w:color w:val="000000"/>
                <w:lang w:eastAsia="en-US"/>
              </w:rPr>
              <w:t>198,453</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lang w:eastAsia="en-US"/>
              </w:rPr>
            </w:pPr>
            <w:r>
              <w:rPr>
                <w:b/>
                <w:color w:val="000000"/>
                <w:lang w:eastAsia="en-US"/>
              </w:rPr>
              <w:t>137,244</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lang w:eastAsia="en-US"/>
              </w:rPr>
            </w:pPr>
            <w:r>
              <w:rPr>
                <w:b/>
                <w:color w:val="000000"/>
                <w:lang w:eastAsia="en-US"/>
              </w:rPr>
              <w:t>24,652</w:t>
            </w:r>
          </w:p>
        </w:tc>
      </w:tr>
    </w:tbl>
    <w:p>
      <w:pPr>
        <w:pStyle w:val="Normal"/>
        <w:rPr/>
      </w:pPr>
      <w:r>
        <w:rPr/>
      </w:r>
    </w:p>
    <w:p>
      <w:pPr>
        <w:pStyle w:val="Normal"/>
        <w:rPr/>
      </w:pPr>
      <w:r>
        <w:rPr/>
        <w:t xml:space="preserve">The total allocations plus compliance supplement pool for 2003 is 161,896 tons.  The emissions estimate for 2001 is </w:t>
      </w:r>
      <w:r>
        <w:rPr>
          <w:color w:val="000000"/>
          <w:lang w:eastAsia="en-US"/>
        </w:rPr>
        <w:t>198,453</w:t>
      </w:r>
      <w:r>
        <w:rPr/>
        <w:t xml:space="preserve"> tons.   Subtracting 2,000 tons for New Hampshire (which will not be in the system in 2003), gives a delta of 34,557 tons of reduction or about 20 percent due by the end of 2003 to meet SIP budget constraints.  However, we know that there are few SCR systems that are already under construction or installed but not in use that will reduce this delta.  The result is that there is a relatively small reduction yet to be made to reach the 2003 levels.  </w:t>
      </w:r>
    </w:p>
    <w:p>
      <w:pPr>
        <w:pStyle w:val="Normal"/>
        <w:tabs>
          <w:tab w:val="clear" w:pos="720"/>
          <w:tab w:val="left" w:pos="-720" w:leader="none"/>
        </w:tabs>
        <w:rPr/>
      </w:pPr>
      <w:r>
        <w:rPr/>
      </w:r>
    </w:p>
    <w:p>
      <w:pPr>
        <w:pStyle w:val="Normal"/>
        <w:tabs>
          <w:tab w:val="clear" w:pos="720"/>
          <w:tab w:val="left" w:pos="-720" w:leader="none"/>
        </w:tabs>
        <w:rPr/>
      </w:pPr>
      <w:r>
        <w:rPr/>
        <w:t>We can do a more detailed breakout of the potential additional reductions if you’d like.  Let us know if you have any questions.</w:t>
      </w:r>
    </w:p>
    <w:sectPr>
      <w:type w:val="continuous"/>
      <w:pgSz w:w="12240" w:h="15840"/>
      <w:pgMar w:left="1440" w:right="1440" w:gutter="0" w:header="0" w:top="864" w:footer="360" w:bottom="41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Bold">
    <w:altName w:val="Times New Roman"/>
    <w:charset w:val="00" w:characterSet="windows-1252"/>
    <w:family w:val="roman"/>
    <w:pitch w:val="default"/>
  </w:font>
  <w:font w:name="TmsRmn 10pt Bold">
    <w:altName w:val="Times New Roman"/>
    <w:charset w:val="00" w:characterSet="windows-1252"/>
    <w:family w:val="roma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left" w:pos="-720" w:leader="none"/>
        <w:tab w:val="left" w:pos="0" w:leader="none"/>
        <w:tab w:val="left" w:pos="1080" w:leader="none"/>
        <w:tab w:val="left" w:pos="1440" w:leader="none"/>
        <w:tab w:val="left" w:pos="1800" w:leader="none"/>
        <w:tab w:val="left" w:pos="2160" w:leader="none"/>
        <w:tab w:val="left" w:pos="2520" w:leader="none"/>
        <w:tab w:val="left" w:pos="2880" w:leader="none"/>
      </w:tabs>
      <w:spacing w:lineRule="auto" w:line="360"/>
      <w:rPr>
        <w:sz w:val="10"/>
      </w:rPr>
    </w:pPr>
    <w:r>
      <w:rPr>
        <w:sz w:val="1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end"/>
      <w:outlineLvl w:val="0"/>
    </w:pPr>
    <w:rPr>
      <w:b/>
      <w:color w:val="000000"/>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eaopen">
    <w:name w:val="eea open"/>
    <w:basedOn w:val="Normal"/>
    <w:qFormat/>
    <w:pPr/>
    <w:rPr/>
  </w:style>
  <w:style w:type="paragraph" w:styleId="EEAHead1">
    <w:name w:val="EEAHead1"/>
    <w:basedOn w:val="Normal"/>
    <w:qFormat/>
    <w:pPr>
      <w:tabs>
        <w:tab w:val="left" w:pos="720" w:leader="none"/>
      </w:tabs>
      <w:spacing w:lineRule="auto" w:line="240" w:before="0" w:after="120"/>
    </w:pPr>
    <w:rPr>
      <w:b/>
      <w:caps/>
    </w:rPr>
  </w:style>
  <w:style w:type="paragraph" w:styleId="EEAHead2">
    <w:name w:val="EEAHead2"/>
    <w:basedOn w:val="EEAHead1"/>
    <w:qFormat/>
    <w:pPr/>
    <w:rPr>
      <w:caps w:val="false"/>
      <w:smallCaps w:val="false"/>
    </w:rPr>
  </w:style>
  <w:style w:type="paragraph" w:styleId="Bullet1">
    <w:name w:val="Bullet #1"/>
    <w:basedOn w:val="Normal"/>
    <w:qFormat/>
    <w:pPr>
      <w:widowControl/>
      <w:numPr>
        <w:ilvl w:val="0"/>
        <w:numId w:val="2"/>
      </w:numPr>
      <w:spacing w:before="0" w:after="120"/>
      <w:ind w:hanging="360" w:start="720" w:end="0"/>
    </w:pPr>
    <w:rPr>
      <w:rFonts w:ascii="Times New Roman" w:hAnsi="Times New Roman" w:cs="Times New Roman"/>
      <w:sz w:val="24"/>
    </w:rPr>
  </w:style>
  <w:style w:type="paragraph" w:styleId="Bullet2">
    <w:name w:val="Bullet #2"/>
    <w:basedOn w:val="Bullet1"/>
    <w:qFormat/>
    <w:pPr>
      <w:numPr>
        <w:ilvl w:val="0"/>
        <w:numId w:val="3"/>
      </w:numPr>
      <w:ind w:hanging="360" w:start="1080" w:end="0"/>
    </w:pPr>
    <w:rPr/>
  </w:style>
  <w:style w:type="paragraph" w:styleId="Bullet3">
    <w:name w:val="Bullet #3"/>
    <w:basedOn w:val="Bullet2"/>
    <w:qFormat/>
    <w:pPr>
      <w:numPr>
        <w:ilvl w:val="0"/>
        <w:numId w:val="4"/>
      </w:numPr>
      <w:ind w:hanging="360" w:start="144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 LTRHD.dot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2001-11-21T15:45:00Z</dcterms:created>
  <dc:creator>Joel Bluestein</dc:creator>
  <dc:description/>
  <dc:language>en-CA</dc:language>
  <cp:lastModifiedBy>Joel Bluestein</cp:lastModifiedBy>
  <cp:lastPrinted>1997-09-09T09:06:00Z</cp:lastPrinted>
  <dcterms:modified xsi:type="dcterms:W3CDTF">2001-11-21T16:05:00Z</dcterms:modified>
  <cp:revision>4</cp:revision>
  <dc:subject/>
  <dc:title>ENERGY AND ENVIRONMENTAL ANALYSIS, INC</dc:title>
</cp:coreProperties>
</file>