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808" w:type="dxa"/>
        <w:jc w:val="start"/>
        <w:tblInd w:w="0" w:type="dxa"/>
        <w:tblLayout w:type="fixed"/>
        <w:tblCellMar>
          <w:top w:w="0" w:type="dxa"/>
          <w:start w:w="108" w:type="dxa"/>
          <w:bottom w:w="0" w:type="dxa"/>
          <w:end w:w="108" w:type="dxa"/>
        </w:tblCellMar>
      </w:tblPr>
      <w:tblGrid>
        <w:gridCol w:w="9288"/>
        <w:gridCol w:w="2520"/>
      </w:tblGrid>
      <w:tr>
        <w:trPr/>
        <w:tc>
          <w:tcPr>
            <w:tcW w:w="92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color w:val="000080"/>
                <w:sz w:val="32"/>
              </w:rPr>
            </w:pPr>
            <w:r>
              <w:rPr>
                <w:color w:val="000080"/>
                <w:sz w:val="32"/>
              </w:rPr>
              <w:t>OTC Overview of the AA Program</w:t>
            </w:r>
          </w:p>
          <w:p>
            <w:pPr>
              <w:pStyle w:val="Normal"/>
              <w:rPr>
                <w:color w:val="000080"/>
                <w:sz w:val="24"/>
              </w:rPr>
            </w:pPr>
            <w:r>
              <w:rPr>
                <w:color w:val="000080"/>
                <w:sz w:val="24"/>
              </w:rPr>
            </w:r>
          </w:p>
          <w:p>
            <w:pPr>
              <w:pStyle w:val="Heading1"/>
              <w:ind w:hanging="0" w:start="0"/>
              <w:jc w:val="both"/>
              <w:rPr>
                <w:color w:val="800000"/>
                <w:sz w:val="28"/>
              </w:rPr>
            </w:pPr>
            <w:r>
              <w:rPr>
                <w:color w:val="800000"/>
                <w:sz w:val="28"/>
              </w:rPr>
              <w:t>Brown Bag (info sessions) Lunches</w:t>
              <w:tab/>
              <w:tab/>
              <w:tab/>
              <w:tab/>
              <w:tab/>
              <w:tab/>
              <w:tab/>
            </w:r>
          </w:p>
          <w:p>
            <w:pPr>
              <w:pStyle w:val="Normal"/>
              <w:rPr>
                <w:color w:val="800000"/>
                <w:sz w:val="24"/>
              </w:rPr>
            </w:pPr>
            <w:r>
              <w:rPr>
                <w:color w:val="800000"/>
                <w:sz w:val="24"/>
              </w:rPr>
            </w:r>
          </w:p>
          <w:p>
            <w:pPr>
              <w:pStyle w:val="BodyText2"/>
              <w:rPr>
                <w:sz w:val="28"/>
              </w:rPr>
            </w:pPr>
            <w:r>
              <w:rPr>
                <w:sz w:val="28"/>
              </w:rPr>
              <w:t>The Office of the Chairman would sponsor weekly brown bag lunches for the ENA AA’s (Delainey’s management team would be the lead speakers).  These sessions will be held in 30C1 or on the fifth floor training rooms (prefer to keep on ENA elevator bank) and limit to first 50 people who RSVP (this will be open to all ENA’s AA’s).</w:t>
            </w:r>
          </w:p>
          <w:p>
            <w:pPr>
              <w:pStyle w:val="Normal"/>
              <w:rPr>
                <w:sz w:val="28"/>
              </w:rPr>
            </w:pPr>
            <w:r>
              <w:rPr>
                <w:sz w:val="28"/>
              </w:rPr>
            </w:r>
          </w:p>
          <w:p>
            <w:pPr>
              <w:pStyle w:val="Normal"/>
              <w:rPr>
                <w:b/>
                <w:sz w:val="28"/>
              </w:rPr>
            </w:pPr>
            <w:r>
              <w:rPr>
                <w:b/>
                <w:sz w:val="28"/>
              </w:rPr>
              <w:t xml:space="preserve">Format:  </w:t>
            </w:r>
          </w:p>
          <w:p>
            <w:pPr>
              <w:pStyle w:val="Normal"/>
              <w:numPr>
                <w:ilvl w:val="0"/>
                <w:numId w:val="4"/>
              </w:numPr>
              <w:rPr>
                <w:sz w:val="28"/>
              </w:rPr>
            </w:pPr>
            <w:r>
              <w:rPr>
                <w:sz w:val="28"/>
              </w:rPr>
              <w:t>Talk about ENA performance and why ENA place to be (i.e., birthplace/mother of new business ventures)</w:t>
            </w:r>
          </w:p>
          <w:p>
            <w:pPr>
              <w:pStyle w:val="Normal"/>
              <w:numPr>
                <w:ilvl w:val="0"/>
                <w:numId w:val="3"/>
              </w:numPr>
              <w:rPr>
                <w:sz w:val="28"/>
              </w:rPr>
            </w:pPr>
            <w:r>
              <w:rPr>
                <w:sz w:val="28"/>
              </w:rPr>
              <w:t xml:space="preserve">Specific sell on respective ENA group where going where been </w:t>
            </w:r>
          </w:p>
          <w:p>
            <w:pPr>
              <w:pStyle w:val="Normal"/>
              <w:numPr>
                <w:ilvl w:val="0"/>
                <w:numId w:val="3"/>
              </w:numPr>
              <w:rPr>
                <w:sz w:val="28"/>
              </w:rPr>
            </w:pPr>
            <w:r>
              <w:rPr>
                <w:sz w:val="28"/>
              </w:rPr>
              <w:t>Q&amp;A on specific groups</w:t>
            </w:r>
          </w:p>
          <w:p>
            <w:pPr>
              <w:pStyle w:val="Normal"/>
              <w:numPr>
                <w:ilvl w:val="0"/>
                <w:numId w:val="3"/>
              </w:numPr>
              <w:rPr>
                <w:sz w:val="28"/>
              </w:rPr>
            </w:pPr>
            <w:r>
              <w:rPr>
                <w:sz w:val="28"/>
              </w:rPr>
              <w:t>Q&amp;A on specific issues to AA program as it pertains to ENA</w:t>
            </w:r>
          </w:p>
          <w:p>
            <w:pPr>
              <w:pStyle w:val="Normal"/>
              <w:numPr>
                <w:ilvl w:val="0"/>
                <w:numId w:val="3"/>
              </w:numPr>
              <w:rPr>
                <w:sz w:val="28"/>
              </w:rPr>
            </w:pPr>
            <w:r>
              <w:rPr>
                <w:sz w:val="28"/>
              </w:rPr>
              <w:t>Record session on IPTV for distribution to those that did not attend</w:t>
            </w:r>
          </w:p>
          <w:p>
            <w:pPr>
              <w:pStyle w:val="Normal"/>
              <w:numPr>
                <w:ilvl w:val="0"/>
                <w:numId w:val="3"/>
              </w:numPr>
              <w:rPr>
                <w:sz w:val="28"/>
              </w:rPr>
            </w:pPr>
            <w:r>
              <w:rPr>
                <w:sz w:val="28"/>
              </w:rPr>
              <w:t>Every other  session would be open to all AA’s, not just ENA specific</w:t>
            </w:r>
          </w:p>
          <w:p>
            <w:pPr>
              <w:pStyle w:val="Normal"/>
              <w:numPr>
                <w:ilvl w:val="0"/>
                <w:numId w:val="3"/>
              </w:numPr>
              <w:rPr>
                <w:sz w:val="28"/>
              </w:rPr>
            </w:pPr>
            <w:r>
              <w:rPr>
                <w:sz w:val="28"/>
              </w:rPr>
              <w:t>Hold every other week starting with the week of July 24, 2000</w:t>
            </w:r>
          </w:p>
          <w:p>
            <w:pPr>
              <w:pStyle w:val="Normal"/>
              <w:ind w:start="720" w:end="0"/>
              <w:rPr/>
            </w:pPr>
            <w:r>
              <w:rPr>
                <w:sz w:val="24"/>
              </w:rPr>
              <w:t xml:space="preserve">                                                                                                           </w:t>
            </w:r>
            <w:r>
              <w:rPr>
                <w:b/>
                <w:color w:val="FF0000"/>
                <w:sz w:val="24"/>
              </w:rPr>
              <w:t>Lunches</w:t>
            </w:r>
          </w:p>
          <w:p>
            <w:pPr>
              <w:pStyle w:val="Heading2"/>
              <w:ind w:hanging="0" w:start="0"/>
              <w:rPr>
                <w:color w:val="0000FF"/>
              </w:rPr>
            </w:pPr>
            <w:r>
              <w:rPr>
                <w:color w:val="0000FF"/>
              </w:rPr>
              <w:t xml:space="preserve">Monthly Dinner with Top Performers </w:t>
            </w:r>
          </w:p>
          <w:p>
            <w:pPr>
              <w:pStyle w:val="Normal"/>
              <w:tabs>
                <w:tab w:val="clear" w:pos="720"/>
                <w:tab w:val="left" w:pos="0" w:leader="none"/>
              </w:tabs>
              <w:rPr>
                <w:b/>
                <w:color w:val="0000FF"/>
                <w:sz w:val="24"/>
              </w:rPr>
            </w:pPr>
            <w:r>
              <w:rPr>
                <w:b/>
                <w:color w:val="0000FF"/>
                <w:sz w:val="24"/>
              </w:rPr>
            </w:r>
          </w:p>
          <w:p>
            <w:pPr>
              <w:pStyle w:val="BodyText"/>
              <w:rPr>
                <w:sz w:val="28"/>
              </w:rPr>
            </w:pPr>
            <w:r>
              <w:rPr>
                <w:sz w:val="28"/>
              </w:rPr>
              <w:t>The Office of the Chairman will sponsor a monthly dinner for up to 25 AA’s from the top two categories in the mid-year PRC (this may be expanded to the top three categories eventually).  The dinners will be held at higher end restaurants (Brennan’s, Café Annie, Mark’s, America’s) and be hosted by a member of the OTC and four to five MD’s.  Additionally, a bi-monthly cocktail party could be held for all top performers.</w:t>
            </w:r>
          </w:p>
          <w:p>
            <w:pPr>
              <w:pStyle w:val="Normal"/>
              <w:tabs>
                <w:tab w:val="clear" w:pos="720"/>
                <w:tab w:val="left" w:pos="0" w:leader="none"/>
              </w:tabs>
              <w:rPr>
                <w:sz w:val="28"/>
              </w:rPr>
            </w:pPr>
            <w:r>
              <w:rPr>
                <w:sz w:val="28"/>
              </w:rPr>
            </w:r>
          </w:p>
          <w:p>
            <w:pPr>
              <w:pStyle w:val="Normal"/>
              <w:tabs>
                <w:tab w:val="clear" w:pos="720"/>
                <w:tab w:val="left" w:pos="0" w:leader="none"/>
              </w:tabs>
              <w:rPr/>
            </w:pPr>
            <w:r>
              <w:rPr>
                <w:b/>
                <w:sz w:val="28"/>
              </w:rPr>
              <w:t>Format</w:t>
            </w:r>
            <w:r>
              <w:rPr>
                <w:sz w:val="28"/>
              </w:rPr>
              <w:t>:</w:t>
            </w:r>
          </w:p>
          <w:p>
            <w:pPr>
              <w:pStyle w:val="Normal"/>
              <w:tabs>
                <w:tab w:val="clear" w:pos="720"/>
                <w:tab w:val="left" w:pos="0" w:leader="none"/>
              </w:tabs>
              <w:rPr>
                <w:sz w:val="28"/>
              </w:rPr>
            </w:pPr>
            <w:r>
              <w:rPr>
                <w:sz w:val="28"/>
              </w:rPr>
            </w:r>
          </w:p>
          <w:p>
            <w:pPr>
              <w:pStyle w:val="Normal"/>
              <w:numPr>
                <w:ilvl w:val="0"/>
                <w:numId w:val="2"/>
              </w:numPr>
              <w:tabs>
                <w:tab w:val="clear" w:pos="720"/>
                <w:tab w:val="left" w:pos="0" w:leader="none"/>
              </w:tabs>
              <w:rPr>
                <w:sz w:val="28"/>
              </w:rPr>
            </w:pPr>
            <w:r>
              <w:rPr>
                <w:sz w:val="28"/>
              </w:rPr>
              <w:t>The initial group will come from AA’s due to rotate in the near future (less than six weeks for Associates and less than two months for Analysts)</w:t>
            </w:r>
          </w:p>
          <w:p>
            <w:pPr>
              <w:pStyle w:val="Normal"/>
              <w:numPr>
                <w:ilvl w:val="0"/>
                <w:numId w:val="2"/>
              </w:numPr>
              <w:tabs>
                <w:tab w:val="clear" w:pos="720"/>
                <w:tab w:val="left" w:pos="0" w:leader="none"/>
              </w:tabs>
              <w:rPr>
                <w:sz w:val="28"/>
              </w:rPr>
            </w:pPr>
            <w:r>
              <w:rPr>
                <w:sz w:val="28"/>
              </w:rPr>
              <w:t xml:space="preserve">Subsequent groups will be drawn from Associates and Analysts with two months remaining in ENA </w:t>
            </w:r>
          </w:p>
          <w:p>
            <w:pPr>
              <w:pStyle w:val="Normal"/>
              <w:numPr>
                <w:ilvl w:val="0"/>
                <w:numId w:val="2"/>
              </w:numPr>
              <w:tabs>
                <w:tab w:val="clear" w:pos="720"/>
                <w:tab w:val="left" w:pos="0" w:leader="none"/>
              </w:tabs>
              <w:rPr>
                <w:sz w:val="28"/>
              </w:rPr>
            </w:pPr>
            <w:r>
              <w:rPr>
                <w:sz w:val="28"/>
              </w:rPr>
              <w:t>Sessions will provide the AA’s a sense of what’s happening in the day to day operation of ENA</w:t>
            </w:r>
          </w:p>
          <w:p>
            <w:pPr>
              <w:pStyle w:val="Normal"/>
              <w:numPr>
                <w:ilvl w:val="0"/>
                <w:numId w:val="2"/>
              </w:numPr>
              <w:tabs>
                <w:tab w:val="clear" w:pos="720"/>
                <w:tab w:val="left" w:pos="0" w:leader="none"/>
              </w:tabs>
              <w:rPr>
                <w:sz w:val="28"/>
              </w:rPr>
            </w:pPr>
            <w:r>
              <w:rPr>
                <w:sz w:val="28"/>
              </w:rPr>
              <w:t>Discussions about current and future business strategy</w:t>
            </w:r>
          </w:p>
          <w:p>
            <w:pPr>
              <w:pStyle w:val="Normal"/>
              <w:numPr>
                <w:ilvl w:val="0"/>
                <w:numId w:val="2"/>
              </w:numPr>
              <w:tabs>
                <w:tab w:val="clear" w:pos="720"/>
                <w:tab w:val="left" w:pos="0" w:leader="none"/>
              </w:tabs>
              <w:rPr>
                <w:sz w:val="28"/>
              </w:rPr>
            </w:pPr>
            <w:r>
              <w:rPr>
                <w:sz w:val="28"/>
              </w:rPr>
              <w:t>Q&amp;A about the AA Program as it pertains to ENA</w:t>
            </w:r>
          </w:p>
          <w:p>
            <w:pPr>
              <w:pStyle w:val="Normal"/>
              <w:numPr>
                <w:ilvl w:val="0"/>
                <w:numId w:val="2"/>
              </w:numPr>
              <w:tabs>
                <w:tab w:val="clear" w:pos="720"/>
                <w:tab w:val="left" w:pos="0" w:leader="none"/>
              </w:tabs>
              <w:rPr>
                <w:sz w:val="28"/>
              </w:rPr>
            </w:pPr>
            <w:r>
              <w:rPr>
                <w:sz w:val="28"/>
              </w:rPr>
              <w:t>Discussions aimed at “selling ENA”</w:t>
            </w:r>
          </w:p>
          <w:p>
            <w:pPr>
              <w:pStyle w:val="Normal"/>
              <w:tabs>
                <w:tab w:val="clear" w:pos="720"/>
                <w:tab w:val="left" w:pos="0" w:leader="none"/>
              </w:tabs>
              <w:rPr>
                <w:b/>
                <w:color w:val="FF0000"/>
                <w:sz w:val="24"/>
              </w:rPr>
            </w:pPr>
            <w:r>
              <w:rPr>
                <w:b/>
                <w:color w:val="FF0000"/>
                <w:sz w:val="24"/>
              </w:rPr>
              <w:t xml:space="preserve">                                                                                                                       </w:t>
            </w:r>
            <w:r>
              <w:rPr>
                <w:b/>
                <w:color w:val="FF0000"/>
                <w:sz w:val="24"/>
              </w:rPr>
              <w:t xml:space="preserve">Dinner     </w:t>
            </w:r>
          </w:p>
          <w:p>
            <w:pPr>
              <w:pStyle w:val="Normal"/>
              <w:tabs>
                <w:tab w:val="clear" w:pos="720"/>
                <w:tab w:val="left" w:pos="0" w:leader="none"/>
              </w:tabs>
              <w:rPr>
                <w:b/>
                <w:color w:val="FF0000"/>
                <w:sz w:val="24"/>
              </w:rPr>
            </w:pPr>
            <w:r>
              <w:rPr>
                <w:b/>
                <w:color w:val="FF0000"/>
                <w:sz w:val="24"/>
              </w:rPr>
              <w:t xml:space="preserve">                                                                                                                       </w:t>
            </w:r>
            <w:r>
              <w:rPr>
                <w:b/>
                <w:color w:val="FF0000"/>
                <w:sz w:val="24"/>
              </w:rPr>
              <w:t xml:space="preserve">Cocktail party </w:t>
            </w:r>
          </w:p>
          <w:p>
            <w:pPr>
              <w:pStyle w:val="Normal"/>
              <w:tabs>
                <w:tab w:val="clear" w:pos="720"/>
                <w:tab w:val="left" w:pos="0" w:leader="none"/>
              </w:tabs>
              <w:rPr>
                <w:b/>
                <w:color w:val="FF0000"/>
                <w:sz w:val="24"/>
              </w:rPr>
            </w:pPr>
            <w:r>
              <w:rPr>
                <w:b/>
                <w:color w:val="FF0000"/>
                <w:sz w:val="24"/>
              </w:rPr>
            </w:r>
          </w:p>
          <w:p>
            <w:pPr>
              <w:pStyle w:val="Heading3"/>
              <w:ind w:hanging="0" w:start="0"/>
              <w:rPr/>
            </w:pPr>
            <w:r>
              <w:rPr/>
              <w:t>Quarterly Social Gathering - Tentative</w:t>
            </w:r>
          </w:p>
          <w:p>
            <w:pPr>
              <w:pStyle w:val="Normal"/>
              <w:tabs>
                <w:tab w:val="clear" w:pos="720"/>
                <w:tab w:val="left" w:pos="0" w:leader="none"/>
              </w:tabs>
              <w:rPr>
                <w:sz w:val="24"/>
              </w:rPr>
            </w:pPr>
            <w:r>
              <w:rPr>
                <w:sz w:val="24"/>
              </w:rPr>
            </w:r>
          </w:p>
          <w:p>
            <w:pPr>
              <w:pStyle w:val="Normal"/>
              <w:tabs>
                <w:tab w:val="clear" w:pos="720"/>
                <w:tab w:val="left" w:pos="0" w:leader="none"/>
              </w:tabs>
              <w:rPr>
                <w:sz w:val="28"/>
              </w:rPr>
            </w:pPr>
            <w:r>
              <w:rPr>
                <w:sz w:val="28"/>
              </w:rPr>
              <w:t>This is an initiative that we are working on and quite frankly we have mixed emotions as to its viability.  However, suggested ideas could include a team competition (teams to be made up of a mixture of AA’s and ENA personnel) and would include a tug of war, sack race, baseball toss, horse shoes, etc.  We could hold this on a Saturday and have food.  Also, we could do a session at Enron Field on the rooftop. The goal here is to keep every one together as a group.</w:t>
            </w:r>
          </w:p>
          <w:p>
            <w:pPr>
              <w:pStyle w:val="Normal"/>
              <w:tabs>
                <w:tab w:val="clear" w:pos="720"/>
                <w:tab w:val="left" w:pos="0" w:leader="none"/>
              </w:tabs>
              <w:rPr/>
            </w:pPr>
            <w:r>
              <w:rPr>
                <w:sz w:val="28"/>
              </w:rPr>
              <w:t xml:space="preserve">                                                                                                      </w:t>
            </w:r>
            <w:r>
              <w:rPr>
                <w:b/>
                <w:color w:val="FF0000"/>
                <w:sz w:val="24"/>
              </w:rPr>
              <w:t>Social Gathering</w:t>
            </w:r>
          </w:p>
          <w:p>
            <w:pPr>
              <w:pStyle w:val="Normal"/>
              <w:tabs>
                <w:tab w:val="clear" w:pos="720"/>
                <w:tab w:val="left" w:pos="0" w:leader="none"/>
              </w:tabs>
              <w:rPr>
                <w:b/>
                <w:color w:val="FF0000"/>
                <w:sz w:val="24"/>
              </w:rPr>
            </w:pPr>
            <w:r>
              <w:rPr>
                <w:b/>
                <w:color w:val="FF0000"/>
                <w:sz w:val="24"/>
              </w:rPr>
            </w:r>
          </w:p>
          <w:p>
            <w:pPr>
              <w:pStyle w:val="Heading1"/>
              <w:tabs>
                <w:tab w:val="clear" w:pos="720"/>
                <w:tab w:val="left" w:pos="0" w:leader="none"/>
              </w:tabs>
              <w:ind w:hanging="0" w:start="0"/>
              <w:rPr>
                <w:color w:val="008000"/>
                <w:sz w:val="28"/>
              </w:rPr>
            </w:pPr>
            <w:r>
              <w:rPr>
                <w:color w:val="008000"/>
                <w:sz w:val="28"/>
              </w:rPr>
            </w:r>
          </w:p>
          <w:p>
            <w:pPr>
              <w:pStyle w:val="Heading1"/>
              <w:tabs>
                <w:tab w:val="clear" w:pos="720"/>
                <w:tab w:val="left" w:pos="0" w:leader="none"/>
              </w:tabs>
              <w:ind w:hanging="0" w:start="0"/>
              <w:rPr>
                <w:color w:val="008000"/>
                <w:sz w:val="28"/>
              </w:rPr>
            </w:pPr>
            <w:r>
              <w:rPr>
                <w:color w:val="008000"/>
                <w:sz w:val="28"/>
              </w:rPr>
              <w:t>Resource Management</w:t>
            </w:r>
          </w:p>
          <w:p>
            <w:pPr>
              <w:pStyle w:val="Normal"/>
              <w:tabs>
                <w:tab w:val="clear" w:pos="720"/>
                <w:tab w:val="left" w:pos="0" w:leader="none"/>
              </w:tabs>
              <w:rPr>
                <w:color w:val="008000"/>
                <w:sz w:val="24"/>
              </w:rPr>
            </w:pPr>
            <w:r>
              <w:rPr>
                <w:color w:val="008000"/>
                <w:sz w:val="24"/>
              </w:rPr>
            </w:r>
          </w:p>
          <w:p>
            <w:pPr>
              <w:pStyle w:val="BodyText"/>
              <w:rPr>
                <w:sz w:val="28"/>
              </w:rPr>
            </w:pPr>
            <w:r>
              <w:rPr>
                <w:sz w:val="28"/>
              </w:rPr>
              <w:t xml:space="preserve">Additionally, Dave Delainey/David Oxley will put out memo asking each member of management group to either be the AA laise for their business unit (or appoint a senior level VP).  These individuals will meet once a month with David Oxley, Jana Giovannani and Ted Bland to discuss rotations, performance, needs, recruiting ideas, etc. and report back to the OTC.  As part of the resource management of ENA AA’s, each designated member of the management group would be assigned up to 5 or 6 AA’s specifically from the top categories and participate in the “Coaching Program”. </w:t>
            </w:r>
          </w:p>
          <w:p>
            <w:pPr>
              <w:pStyle w:val="Normal"/>
              <w:tabs>
                <w:tab w:val="clear" w:pos="720"/>
                <w:tab w:val="left" w:pos="0" w:leader="none"/>
              </w:tabs>
              <w:rPr>
                <w:sz w:val="28"/>
              </w:rPr>
            </w:pPr>
            <w:r>
              <w:rPr>
                <w:sz w:val="28"/>
              </w:rPr>
            </w:r>
          </w:p>
          <w:p>
            <w:pPr>
              <w:pStyle w:val="Normal"/>
              <w:tabs>
                <w:tab w:val="clear" w:pos="720"/>
                <w:tab w:val="left" w:pos="0" w:leader="none"/>
              </w:tabs>
              <w:rPr>
                <w:b/>
                <w:sz w:val="28"/>
              </w:rPr>
            </w:pPr>
            <w:r>
              <w:rPr>
                <w:b/>
                <w:color w:val="800080"/>
                <w:sz w:val="28"/>
              </w:rPr>
              <w:t>Coaching Program</w:t>
            </w:r>
          </w:p>
          <w:p>
            <w:pPr>
              <w:pStyle w:val="Normal"/>
              <w:tabs>
                <w:tab w:val="clear" w:pos="720"/>
                <w:tab w:val="left" w:pos="0" w:leader="none"/>
              </w:tabs>
              <w:rPr>
                <w:b/>
                <w:sz w:val="28"/>
              </w:rPr>
            </w:pPr>
            <w:r>
              <w:rPr>
                <w:b/>
                <w:sz w:val="28"/>
              </w:rPr>
            </w:r>
          </w:p>
          <w:p>
            <w:pPr>
              <w:pStyle w:val="Normal"/>
              <w:tabs>
                <w:tab w:val="clear" w:pos="720"/>
                <w:tab w:val="left" w:pos="0" w:leader="none"/>
              </w:tabs>
              <w:rPr>
                <w:sz w:val="28"/>
              </w:rPr>
            </w:pPr>
            <w:r>
              <w:rPr>
                <w:sz w:val="28"/>
              </w:rPr>
              <w:t>This program would pair a VP/MD with our top performers.  It would include one on one sessions with the AA’s with a face to face at least every two weeks.  For this program to work, we must have a total commitment from the VP/MD’s and AA’s.  When we have the monthly review, each VP/MD could report out on their respective AA’s progress, ideas, issues, etc.</w:t>
            </w:r>
          </w:p>
          <w:p>
            <w:pPr>
              <w:pStyle w:val="Normal"/>
              <w:tabs>
                <w:tab w:val="clear" w:pos="720"/>
                <w:tab w:val="left" w:pos="0" w:leader="none"/>
              </w:tabs>
              <w:rPr>
                <w:sz w:val="28"/>
              </w:rPr>
            </w:pPr>
            <w:r>
              <w:rPr>
                <w:sz w:val="28"/>
              </w:rPr>
            </w:r>
          </w:p>
          <w:p>
            <w:pPr>
              <w:pStyle w:val="Normal"/>
              <w:tabs>
                <w:tab w:val="clear" w:pos="720"/>
                <w:tab w:val="left" w:pos="0" w:leader="none"/>
              </w:tabs>
              <w:rPr>
                <w:sz w:val="28"/>
              </w:rPr>
            </w:pPr>
            <w:r>
              <w:rPr>
                <w:sz w:val="28"/>
              </w:rPr>
              <w:t>Costs for the above initiatives would be expensed from the OTC operating budget</w:t>
            </w:r>
          </w:p>
          <w:p>
            <w:pPr>
              <w:pStyle w:val="Normal"/>
              <w:tabs>
                <w:tab w:val="clear" w:pos="720"/>
                <w:tab w:val="left" w:pos="0" w:leader="none"/>
              </w:tabs>
              <w:rPr>
                <w:sz w:val="24"/>
              </w:rPr>
            </w:pPr>
            <w:r>
              <w:rPr>
                <w:sz w:val="24"/>
              </w:rPr>
            </w:r>
          </w:p>
          <w:p>
            <w:pPr>
              <w:pStyle w:val="Normal"/>
              <w:rPr>
                <w:sz w:val="24"/>
              </w:rPr>
            </w:pPr>
            <w:r>
              <w:rPr>
                <w:sz w:val="24"/>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Heading4"/>
              <w:ind w:hanging="0" w:start="0"/>
              <w:jc w:val="start"/>
              <w:rPr>
                <w:sz w:val="24"/>
              </w:rPr>
            </w:pPr>
            <w:r>
              <w:rPr>
                <w:sz w:val="24"/>
              </w:rPr>
              <w:t>BUDGET     TOTAL</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3"/>
              <w:rPr/>
            </w:pPr>
            <w:r>
              <w:rPr/>
              <w:t>$ 3,000        $ 3,000</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Heading5"/>
              <w:ind w:hanging="0" w:start="0"/>
              <w:rPr>
                <w:b/>
                <w:color w:val="FF0000"/>
                <w:sz w:val="24"/>
              </w:rPr>
            </w:pPr>
            <w:r>
              <w:rPr>
                <w:b/>
                <w:color w:val="FF0000"/>
                <w:sz w:val="24"/>
              </w:rPr>
            </w:r>
          </w:p>
          <w:p>
            <w:pPr>
              <w:pStyle w:val="Normal"/>
              <w:jc w:val="center"/>
              <w:rPr>
                <w:b/>
                <w:color w:val="FF0000"/>
                <w:sz w:val="24"/>
              </w:rPr>
            </w:pPr>
            <w:r>
              <w:rPr>
                <w:b/>
                <w:color w:val="FF0000"/>
                <w:sz w:val="24"/>
              </w:rPr>
            </w:r>
          </w:p>
          <w:p>
            <w:pPr>
              <w:pStyle w:val="Normal"/>
              <w:jc w:val="center"/>
              <w:rPr>
                <w:sz w:val="24"/>
              </w:rPr>
            </w:pPr>
            <w:r>
              <w:rPr>
                <w:sz w:val="24"/>
              </w:rPr>
            </w:r>
          </w:p>
          <w:p>
            <w:pPr>
              <w:pStyle w:val="Heading6"/>
              <w:ind w:hanging="0" w:start="0"/>
              <w:rPr>
                <w:b/>
                <w:sz w:val="24"/>
              </w:rPr>
            </w:pPr>
            <w:r>
              <w:rPr>
                <w:b/>
                <w:sz w:val="24"/>
              </w:rPr>
            </w:r>
          </w:p>
          <w:p>
            <w:pPr>
              <w:pStyle w:val="Heading6"/>
              <w:ind w:hanging="0" w:start="0"/>
              <w:rPr>
                <w:b/>
              </w:rPr>
            </w:pPr>
            <w:r>
              <w:rPr>
                <w:b/>
              </w:rPr>
            </w:r>
          </w:p>
          <w:p>
            <w:pPr>
              <w:pStyle w:val="Heading6"/>
              <w:ind w:hanging="0" w:start="0"/>
              <w:rPr>
                <w:b/>
              </w:rPr>
            </w:pPr>
            <w:r>
              <w:rPr>
                <w:b/>
              </w:rPr>
              <w:t>BUDGET   TOTAL</w:t>
            </w:r>
          </w:p>
          <w:p>
            <w:pPr>
              <w:pStyle w:val="Normal"/>
              <w:jc w:val="center"/>
              <w:rPr>
                <w:b/>
                <w:sz w:val="24"/>
              </w:rPr>
            </w:pPr>
            <w:r>
              <w:rPr>
                <w:b/>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rPr>
                <w:color w:val="FF0000"/>
                <w:sz w:val="24"/>
              </w:rPr>
            </w:pPr>
            <w:r>
              <w:rPr>
                <w:color w:val="FF0000"/>
                <w:sz w:val="24"/>
              </w:rPr>
              <w:t xml:space="preserve"> </w:t>
            </w:r>
          </w:p>
          <w:p>
            <w:pPr>
              <w:pStyle w:val="Normal"/>
              <w:rPr>
                <w:color w:val="FF0000"/>
                <w:sz w:val="24"/>
              </w:rPr>
            </w:pPr>
            <w:r>
              <w:rPr>
                <w:color w:val="FF0000"/>
                <w:sz w:val="24"/>
              </w:rPr>
            </w:r>
          </w:p>
          <w:p>
            <w:pPr>
              <w:pStyle w:val="Normal"/>
              <w:rPr>
                <w:color w:val="FF0000"/>
                <w:sz w:val="24"/>
              </w:rPr>
            </w:pPr>
            <w:r>
              <w:rPr>
                <w:color w:val="FF0000"/>
                <w:sz w:val="24"/>
              </w:rPr>
            </w:r>
          </w:p>
          <w:p>
            <w:pPr>
              <w:pStyle w:val="Normal"/>
              <w:rPr>
                <w:color w:val="FF0000"/>
                <w:sz w:val="24"/>
              </w:rPr>
            </w:pPr>
            <w:r>
              <w:rPr>
                <w:color w:val="FF0000"/>
                <w:sz w:val="24"/>
              </w:rPr>
            </w:r>
          </w:p>
          <w:p>
            <w:pPr>
              <w:pStyle w:val="Normal"/>
              <w:rPr>
                <w:color w:val="FF0000"/>
                <w:sz w:val="24"/>
              </w:rPr>
            </w:pPr>
            <w:r>
              <w:rPr>
                <w:color w:val="FF0000"/>
                <w:sz w:val="24"/>
              </w:rPr>
              <w:t>15,000         18,000</w:t>
            </w:r>
          </w:p>
          <w:p>
            <w:pPr>
              <w:pStyle w:val="Normal"/>
              <w:rPr>
                <w:color w:val="FF0000"/>
                <w:sz w:val="24"/>
              </w:rPr>
            </w:pPr>
            <w:r>
              <w:rPr>
                <w:color w:val="FF0000"/>
                <w:sz w:val="24"/>
              </w:rPr>
              <w:t xml:space="preserve">   </w:t>
            </w:r>
            <w:r>
              <w:rPr>
                <w:color w:val="FF0000"/>
                <w:sz w:val="24"/>
              </w:rPr>
              <w:t>7,500         25,500</w:t>
            </w:r>
          </w:p>
          <w:p>
            <w:pPr>
              <w:pStyle w:val="Normal"/>
              <w:jc w:val="center"/>
              <w:rPr>
                <w:color w:val="FF0000"/>
                <w:sz w:val="24"/>
              </w:rPr>
            </w:pPr>
            <w:r>
              <w:rPr>
                <w:color w:val="FF0000"/>
                <w:sz w:val="24"/>
              </w:rPr>
            </w:r>
          </w:p>
          <w:p>
            <w:pPr>
              <w:pStyle w:val="Normal"/>
              <w:jc w:val="center"/>
              <w:rPr>
                <w:color w:val="FF0000"/>
                <w:sz w:val="24"/>
              </w:rPr>
            </w:pPr>
            <w:r>
              <w:rPr>
                <w:color w:val="FF0000"/>
                <w:sz w:val="24"/>
              </w:rPr>
            </w:r>
          </w:p>
          <w:p>
            <w:pPr>
              <w:pStyle w:val="Normal"/>
              <w:jc w:val="center"/>
              <w:rPr>
                <w:color w:val="FF0000"/>
                <w:sz w:val="24"/>
              </w:rPr>
            </w:pPr>
            <w:r>
              <w:rPr>
                <w:color w:val="FF0000"/>
                <w:sz w:val="24"/>
              </w:rPr>
            </w:r>
          </w:p>
          <w:p>
            <w:pPr>
              <w:pStyle w:val="Normal"/>
              <w:jc w:val="center"/>
              <w:rPr>
                <w:color w:val="FF0000"/>
                <w:sz w:val="24"/>
              </w:rPr>
            </w:pPr>
            <w:r>
              <w:rPr>
                <w:color w:val="FF0000"/>
                <w:sz w:val="24"/>
              </w:rPr>
            </w:r>
          </w:p>
          <w:p>
            <w:pPr>
              <w:pStyle w:val="Normal"/>
              <w:jc w:val="center"/>
              <w:rPr>
                <w:color w:val="FF0000"/>
                <w:sz w:val="24"/>
              </w:rPr>
            </w:pPr>
            <w:r>
              <w:rPr>
                <w:color w:val="FF0000"/>
                <w:sz w:val="24"/>
              </w:rPr>
            </w:r>
          </w:p>
          <w:p>
            <w:pPr>
              <w:pStyle w:val="Normal"/>
              <w:jc w:val="center"/>
              <w:rPr>
                <w:color w:val="FF0000"/>
                <w:sz w:val="24"/>
              </w:rPr>
            </w:pPr>
            <w:r>
              <w:rPr>
                <w:color w:val="FF0000"/>
                <w:sz w:val="24"/>
              </w:rPr>
            </w:r>
          </w:p>
          <w:p>
            <w:pPr>
              <w:pStyle w:val="Normal"/>
              <w:jc w:val="center"/>
              <w:rPr>
                <w:color w:val="FF0000"/>
                <w:sz w:val="24"/>
              </w:rPr>
            </w:pPr>
            <w:r>
              <w:rPr>
                <w:color w:val="FF0000"/>
                <w:sz w:val="24"/>
              </w:rPr>
            </w:r>
          </w:p>
          <w:p>
            <w:pPr>
              <w:pStyle w:val="Normal"/>
              <w:rPr>
                <w:color w:val="FF0000"/>
                <w:sz w:val="24"/>
              </w:rPr>
            </w:pPr>
            <w:r>
              <w:rPr>
                <w:color w:val="FF0000"/>
                <w:sz w:val="24"/>
              </w:rPr>
            </w:r>
          </w:p>
          <w:p>
            <w:pPr>
              <w:pStyle w:val="Normal"/>
              <w:rPr>
                <w:color w:val="FF0000"/>
                <w:sz w:val="24"/>
              </w:rPr>
            </w:pPr>
            <w:r>
              <w:rPr>
                <w:color w:val="FF0000"/>
                <w:sz w:val="24"/>
              </w:rPr>
            </w:r>
          </w:p>
          <w:p>
            <w:pPr>
              <w:pStyle w:val="Normal"/>
              <w:rPr>
                <w:color w:val="FF0000"/>
                <w:sz w:val="24"/>
              </w:rPr>
            </w:pPr>
            <w:r>
              <w:rPr>
                <w:color w:val="FF0000"/>
                <w:sz w:val="24"/>
              </w:rPr>
            </w:r>
          </w:p>
          <w:p>
            <w:pPr>
              <w:pStyle w:val="Normal"/>
              <w:rPr>
                <w:sz w:val="24"/>
              </w:rPr>
            </w:pPr>
            <w:r>
              <w:rPr>
                <w:color w:val="FF0000"/>
                <w:sz w:val="24"/>
              </w:rPr>
              <w:t>$10,000       $35,000</w:t>
            </w:r>
          </w:p>
          <w:p>
            <w:pPr>
              <w:pStyle w:val="Normal"/>
              <w:jc w:val="center"/>
              <w:rPr>
                <w:sz w:val="24"/>
              </w:rPr>
            </w:pPr>
            <w:r>
              <w:rPr>
                <w:sz w:val="24"/>
              </w:rPr>
            </w:r>
          </w:p>
          <w:p>
            <w:pPr>
              <w:pStyle w:val="Normal"/>
              <w:jc w:val="center"/>
              <w:rPr>
                <w:sz w:val="24"/>
              </w:rPr>
            </w:pPr>
            <w:r>
              <w:rPr>
                <w:sz w:val="24"/>
              </w:rPr>
            </w:r>
          </w:p>
        </w:tc>
      </w:tr>
    </w:tbl>
    <w:p>
      <w:pPr>
        <w:pStyle w:val="Normal"/>
        <w:rPr/>
      </w:pPr>
      <w:r>
        <w:rPr/>
      </w:r>
    </w:p>
    <w:sectPr>
      <w:type w:val="nextPage"/>
      <w:pgSz w:orient="landscape" w:w="15840" w:h="12240"/>
      <w:pgMar w:left="1440" w:right="72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tabs>
        <w:tab w:val="clear" w:pos="720"/>
        <w:tab w:val="left" w:pos="0" w:leader="none"/>
      </w:tabs>
      <w:outlineLvl w:val="1"/>
    </w:pPr>
    <w:rPr>
      <w:b/>
      <w:color w:val="000080"/>
      <w:sz w:val="28"/>
    </w:rPr>
  </w:style>
  <w:style w:type="paragraph" w:styleId="Heading3">
    <w:name w:val="heading 3"/>
    <w:basedOn w:val="Normal"/>
    <w:next w:val="Normal"/>
    <w:qFormat/>
    <w:pPr>
      <w:keepNext w:val="true"/>
      <w:numPr>
        <w:ilvl w:val="2"/>
        <w:numId w:val="1"/>
      </w:numPr>
      <w:tabs>
        <w:tab w:val="clear" w:pos="720"/>
        <w:tab w:val="left" w:pos="0" w:leader="none"/>
      </w:tabs>
      <w:outlineLvl w:val="2"/>
    </w:pPr>
    <w:rPr>
      <w:b/>
      <w:color w:val="FF00FF"/>
      <w:sz w:val="28"/>
    </w:rPr>
  </w:style>
  <w:style w:type="paragraph" w:styleId="Heading4">
    <w:name w:val="heading 4"/>
    <w:basedOn w:val="Normal"/>
    <w:next w:val="Normal"/>
    <w:qFormat/>
    <w:pPr>
      <w:keepNext w:val="true"/>
      <w:numPr>
        <w:ilvl w:val="3"/>
        <w:numId w:val="1"/>
      </w:numPr>
      <w:jc w:val="center"/>
      <w:outlineLvl w:val="3"/>
    </w:pPr>
    <w:rPr>
      <w:b/>
      <w:color w:val="FF0000"/>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jc w:val="center"/>
      <w:outlineLvl w:val="5"/>
    </w:pPr>
    <w:rPr>
      <w:color w:val="FF0000"/>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90"/>
    </w:pPr>
    <w:rPr>
      <w:sz w:val="22"/>
    </w:rPr>
  </w:style>
  <w:style w:type="paragraph" w:styleId="BodyText3">
    <w:name w:val="Body Text 3"/>
    <w:basedOn w:val="Normal"/>
    <w:qFormat/>
    <w:pPr/>
    <w:rPr>
      <w:color w:val="FF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2000-07-11T21:02:00Z</dcterms:created>
  <dc:creator>tbland</dc:creator>
  <dc:description/>
  <dc:language>en-CA</dc:language>
  <cp:lastModifiedBy>tbland</cp:lastModifiedBy>
  <cp:lastPrinted>2000-07-11T19:24:00Z</cp:lastPrinted>
  <dcterms:modified xsi:type="dcterms:W3CDTF">2000-07-11T22:09:00Z</dcterms:modified>
  <cp:revision>11</cp:revision>
  <dc:subject/>
  <dc:title>OTC Overview of the AA Program</dc:title>
</cp:coreProperties>
</file>