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67" w:start="567" w:end="0"/>
        <w:jc w:val="both"/>
        <w:rPr>
          <w:b/>
          <w:sz w:val="22"/>
        </w:rPr>
      </w:pPr>
      <w:bookmarkStart w:id="0" w:name="currPos"/>
      <w:bookmarkEnd w:id="0"/>
      <w:r>
        <w:rPr>
          <w:b/>
          <w:sz w:val="22"/>
        </w:rPr>
        <w:t>DRAFT: 24.11.99</w:t>
      </w:r>
    </w:p>
    <w:p>
      <w:pPr>
        <w:pStyle w:val="Normal"/>
        <w:ind w:hanging="567" w:start="567" w:end="0"/>
        <w:jc w:val="both"/>
        <w:rPr>
          <w:b/>
          <w:sz w:val="22"/>
        </w:rPr>
      </w:pPr>
      <w:r>
        <w:rPr>
          <w:b/>
          <w:sz w:val="22"/>
        </w:rPr>
      </w:r>
    </w:p>
    <w:p>
      <w:pPr>
        <w:pStyle w:val="Normal"/>
        <w:ind w:hanging="567" w:start="567" w:end="0"/>
        <w:jc w:val="center"/>
        <w:rPr>
          <w:b/>
          <w:sz w:val="22"/>
        </w:rPr>
      </w:pPr>
      <w:r>
        <w:rPr>
          <w:b/>
          <w:sz w:val="22"/>
        </w:rPr>
        <w:t>ISDA/OSLA INSOLVENCY BRIDGE</w:t>
      </w:r>
      <w:r>
        <w:rPr>
          <w:rStyle w:val="FootnoteCharacters"/>
          <w:rStyle w:val="FootnoteReference"/>
          <w:b/>
          <w:sz w:val="22"/>
        </w:rPr>
        <w:footnoteReference w:id="2"/>
      </w:r>
    </w:p>
    <w:p>
      <w:pPr>
        <w:pStyle w:val="Normal"/>
        <w:ind w:hanging="567" w:start="567" w:end="0"/>
        <w:jc w:val="center"/>
        <w:rPr>
          <w:b/>
          <w:sz w:val="22"/>
        </w:rPr>
      </w:pPr>
      <w:r>
        <w:rPr>
          <w:b/>
          <w:sz w:val="22"/>
        </w:rPr>
      </w:r>
    </w:p>
    <w:p>
      <w:pPr>
        <w:pStyle w:val="Normal"/>
        <w:jc w:val="both"/>
        <w:rPr>
          <w:b/>
          <w:sz w:val="22"/>
        </w:rPr>
      </w:pPr>
      <w:r>
        <w:rPr>
          <w:b/>
          <w:sz w:val="22"/>
        </w:rPr>
        <w:t>OSLA Transactions</w:t>
      </w:r>
    </w:p>
    <w:p>
      <w:pPr>
        <w:pStyle w:val="Normal"/>
        <w:jc w:val="both"/>
        <w:rPr>
          <w:b/>
          <w:sz w:val="22"/>
        </w:rPr>
      </w:pPr>
      <w:r>
        <w:rPr>
          <w:b/>
          <w:sz w:val="22"/>
        </w:rPr>
      </w:r>
    </w:p>
    <w:p>
      <w:pPr>
        <w:pStyle w:val="Normal"/>
        <w:ind w:end="-480"/>
        <w:jc w:val="both"/>
        <w:rPr/>
      </w:pPr>
      <w:r>
        <w:rPr>
          <w:sz w:val="22"/>
        </w:rPr>
        <w:t xml:space="preserve">Any securities lending transaction into which the parties </w:t>
      </w:r>
      <w:r>
        <w:rPr>
          <w:i/>
          <w:sz w:val="22"/>
        </w:rPr>
        <w:t>have entered</w:t>
      </w:r>
      <w:r>
        <w:rPr>
          <w:sz w:val="22"/>
        </w:rPr>
        <w:t xml:space="preserve"> or </w:t>
      </w:r>
      <w:r>
        <w:rPr>
          <w:i/>
          <w:sz w:val="22"/>
        </w:rPr>
        <w:t>may enter</w:t>
      </w:r>
      <w:r>
        <w:rPr>
          <w:sz w:val="22"/>
        </w:rPr>
        <w:t xml:space="preserve"> and in respect of which the confirmation or other confirming evidence refers to [or incorporates] the Overseas Securities Lender's Agreement ("OSLA") (with the exception of any Agency Transactions as defined in the OSLA) (each a "Securities Lending Transaction") will be, in the event there occurs an Event of Default under Section 5(a)(vii) of this Agreement (any such event a "Bridging Event"), governed by this Agreement in all circumstances except when the parties expressly agree that this provision will not apply.  In the event there occurs a Bridging Event, each such Securities Lending Transaction will be deemed to be a [Swap Transaction] [Transaction]</w:t>
      </w:r>
      <w:r>
        <w:rPr>
          <w:rStyle w:val="FootnoteCharacters"/>
          <w:rStyle w:val="FootnoteReference"/>
          <w:sz w:val="22"/>
        </w:rPr>
        <w:footnoteReference w:id="3"/>
      </w:r>
      <w:r>
        <w:rPr>
          <w:sz w:val="22"/>
        </w:rPr>
        <w:t xml:space="preserve"> and each such confirmation or other confirming evidence will be deemed to constitute a Confirmation for purposes of this Agreement.  For purposes of the provisions of Section 6(e), with respect to all Transactions that are also Securities Lending Transactions, it will be deemed that a Market Quotation cannot be obtained and such Transactions will be valued under Loss.  In establishing the Loss for each Securities Lending Transaction the Non-Defaulting Party may (but is not required to) use the procedures in Clauses 8(B)(i), 8(C) and, to the extent relevant, Clauses 8(D)-(F) (excluding Clause 8(B)(ii)) of the OSLA.</w:t>
      </w:r>
      <w:r>
        <w:rPr>
          <w:rStyle w:val="FootnoteCharacters"/>
          <w:rStyle w:val="FootnoteReference"/>
          <w:sz w:val="22"/>
        </w:rPr>
        <w:footnoteReference w:id="4"/>
      </w:r>
      <w:r>
        <w:rPr>
          <w:sz w:val="22"/>
        </w:rPr>
        <w:t xml:space="preserve"> To the extent necessary to give effect to those clauses, Clauses 1(A) and 1(D) of the OSLA are hereby incorporated by reference in this Agreement.  Those provisions are applicable only to transactions to which this provision relates and will prevail in the event of any inconsistency with any other provision of this Agreement.  In the event of any other inconsistency between the OSLA and this Agreement, this Agreement will govern.  All other Clauses in the OSLA, including without limitation Clauses 8(B)(ii) and 12 of the OSLA, are not applicable to any transaction to which this provision relates.</w:t>
      </w:r>
    </w:p>
    <w:sectPr>
      <w:footerReference w:type="default" r:id="rId2"/>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ICM:381876.1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Provision to be added to Part 5 of a Schedule to an ISDA Interest Rate and Currency Exchange Agreement or ISDA Master Agreement (Multicurrency - Cross Border).</w:t>
      </w:r>
    </w:p>
  </w:footnote>
  <w:footnote w:id="3">
    <w:p>
      <w:pPr>
        <w:pStyle w:val="FootnoteText"/>
        <w:rPr/>
      </w:pPr>
      <w:r>
        <w:rPr>
          <w:rStyle w:val="FootnoteCharacters"/>
        </w:rPr>
        <w:footnoteRef/>
      </w:r>
      <w:r>
        <w:rPr/>
        <w:t xml:space="preserve"> </w:t>
      </w:r>
      <w:r>
        <w:rPr/>
        <w:tab/>
        <w:t>Select "Swap Transaction" if provision is to be added to an Interest Rate and Currency Exchange Agreement.  Select "Transaction" if provision is to be added to an ISDA Master Agreement (Multicurrency - Cross Border).</w:t>
      </w:r>
    </w:p>
  </w:footnote>
  <w:footnote w:id="4">
    <w:p>
      <w:pPr>
        <w:pStyle w:val="FootnoteText"/>
        <w:rPr/>
      </w:pPr>
      <w:r>
        <w:rPr>
          <w:rStyle w:val="FootnoteCharacters"/>
        </w:rPr>
        <w:footnoteRef/>
      </w:r>
      <w:r>
        <w:rPr/>
        <w:t xml:space="preserve"> </w:t>
      </w:r>
      <w:r>
        <w:rPr/>
        <w:tab/>
        <w:t>A re-write of Loss or establishment of consensus that the current version is sufficient, could eliminate the need to apply procedures and definitions from the OSLA into the close-out mechanics of the ISDA.  Perhaps, Loss could be interpreted by recommended procedures clearly stated that are already within the scope of Loss.  This would not require re-drafting, merely establishment of new procedures for the new products.</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Ref" w:val="ICM:381876.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2001-03-16T13:47:00Z</dcterms:created>
  <dc:creator>Bankgesellschaft Berlin</dc:creator>
  <dc:description/>
  <dc:language>en-CA</dc:language>
  <cp:lastModifiedBy>apapesch</cp:lastModifiedBy>
  <cp:lastPrinted>1999-11-24T17:37:00Z</cp:lastPrinted>
  <dcterms:modified xsi:type="dcterms:W3CDTF">2001-03-16T13:47:00Z</dcterms:modified>
  <cp:revision>2</cp:revision>
  <dc:subject/>
  <dc:title>Repo Agreements</dc:title>
</cp:coreProperties>
</file>