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28.xml" ContentType="application/vnd.openxmlformats-officedocument.wordprocessingml.footer+xml"/>
  <Override PartName="/word/footer2.xml" ContentType="application/vnd.openxmlformats-officedocument.wordprocessingml.footer+xml"/>
  <Override PartName="/word/footer35.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34.xml" ContentType="application/vnd.openxmlformats-officedocument.wordprocessingml.footer+xml"/>
  <Override PartName="/word/footer1.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footer37.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39.xml" ContentType="application/vnd.openxmlformats-officedocument.wordprocessingml.footer+xml"/>
  <Override PartName="/word/footer41.xml" ContentType="application/vnd.openxmlformats-officedocument.wordprocessingml.footer+xml"/>
  <Override PartName="/word/footer29.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theme/theme1.xml" ContentType="application/vnd.openxmlformats-officedocument.theme+xml"/>
  <Override PartName="/word/footer33.xml" ContentType="application/vnd.openxmlformats-officedocument.wordprocessingml.footer+xml"/>
  <Override PartName="/word/footer9.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footer32.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98" w:type="dxa"/>
        <w:jc w:val="start"/>
        <w:tblInd w:w="-58" w:type="dxa"/>
        <w:tblLayout w:type="fixed"/>
        <w:tblCellMar>
          <w:top w:w="0" w:type="dxa"/>
          <w:start w:w="0" w:type="dxa"/>
          <w:bottom w:w="0" w:type="dxa"/>
          <w:end w:w="0" w:type="dxa"/>
        </w:tblCellMar>
      </w:tblPr>
      <w:tblGrid>
        <w:gridCol w:w="4198"/>
      </w:tblGrid>
      <w:tr>
        <w:trPr/>
        <w:tc>
          <w:tcPr>
            <w:tcW w:w="4198" w:type="dxa"/>
            <w:tcBorders>
              <w:top w:val="single" w:sz="12" w:space="0" w:color="000000"/>
              <w:start w:val="single" w:sz="12" w:space="0" w:color="000000"/>
              <w:bottom w:val="single" w:sz="12" w:space="0" w:color="000000"/>
              <w:end w:val="single" w:sz="12" w:space="0" w:color="000000"/>
            </w:tcBorders>
          </w:tcPr>
          <w:p>
            <w:pPr>
              <w:pStyle w:val="Normal"/>
              <w:tabs>
                <w:tab w:val="clear" w:pos="720"/>
                <w:tab w:val="left" w:pos="1710" w:leader="none"/>
                <w:tab w:val="left" w:pos="1890" w:leader="none"/>
                <w:tab w:val="left" w:pos="3928" w:leader="none"/>
              </w:tabs>
              <w:ind w:start="144" w:end="0"/>
              <w:rPr/>
            </w:pPr>
            <w:r>
              <w:rPr/>
              <w:t>Exhibit Number  :</w:t>
            </w:r>
            <w:r>
              <w:rPr>
                <w:u w:val="single"/>
              </w:rPr>
              <w:t xml:space="preserve">                               </w:t>
            </w:r>
          </w:p>
          <w:p>
            <w:pPr>
              <w:pStyle w:val="Normal"/>
              <w:tabs>
                <w:tab w:val="clear" w:pos="720"/>
                <w:tab w:val="left" w:pos="1710" w:leader="none"/>
                <w:tab w:val="left" w:pos="1890" w:leader="none"/>
                <w:tab w:val="left" w:pos="3928" w:leader="none"/>
              </w:tabs>
              <w:ind w:start="144" w:end="0"/>
              <w:rPr/>
            </w:pPr>
            <w:r>
              <w:rPr/>
              <w:t xml:space="preserve">Commissioner    : </w:t>
            </w:r>
            <w:r>
              <w:rPr>
                <w:u w:val="single"/>
              </w:rPr>
              <w:t>Richard A. Bilas      </w:t>
            </w:r>
          </w:p>
          <w:p>
            <w:pPr>
              <w:pStyle w:val="Normal"/>
              <w:tabs>
                <w:tab w:val="clear" w:pos="720"/>
                <w:tab w:val="left" w:pos="1710" w:leader="none"/>
                <w:tab w:val="left" w:pos="1890" w:leader="none"/>
                <w:tab w:val="left" w:pos="3928" w:leader="none"/>
              </w:tabs>
              <w:ind w:start="144" w:end="0"/>
              <w:rPr/>
            </w:pPr>
            <w:r>
              <w:rPr/>
              <w:t xml:space="preserve">Adm. Law Judge: </w:t>
            </w:r>
            <w:r>
              <w:rPr>
                <w:u w:val="single"/>
              </w:rPr>
              <w:t>Meg Gottstein          </w:t>
            </w:r>
          </w:p>
          <w:p>
            <w:pPr>
              <w:pStyle w:val="Normal"/>
              <w:tabs>
                <w:tab w:val="clear" w:pos="720"/>
                <w:tab w:val="left" w:pos="3928" w:leader="none"/>
                <w:tab w:val="left" w:pos="3960" w:leader="none"/>
              </w:tabs>
              <w:ind w:start="144" w:end="0"/>
              <w:jc w:val="center"/>
              <w:rPr>
                <w:u w:val="single"/>
              </w:rPr>
            </w:pPr>
            <w:r>
              <w:rPr>
                <w:u w:val="single"/>
              </w:rPr>
            </w:r>
          </w:p>
        </w:tc>
      </w:tr>
    </w:tbl>
    <w:p>
      <w:pPr>
        <w:pStyle w:val="Normal"/>
        <w:widowControl w:val="false"/>
        <w:jc w:val="center"/>
        <w:rPr>
          <w:b/>
          <w:sz w:val="28"/>
        </w:rPr>
      </w:pPr>
      <w:r>
        <w:rPr>
          <w:b/>
          <w:sz w:val="28"/>
        </w:rPr>
      </w:r>
    </w:p>
    <w:p>
      <w:pPr>
        <w:pStyle w:val="Normal"/>
        <w:pBdr>
          <w:top w:val="single" w:sz="12" w:space="1" w:color="000000"/>
          <w:left w:val="single" w:sz="12" w:space="1" w:color="000000"/>
          <w:bottom w:val="single" w:sz="12" w:space="1" w:color="000000"/>
          <w:right w:val="single" w:sz="12" w:space="1" w:color="000000"/>
        </w:pBdr>
        <w:jc w:val="center"/>
        <w:rPr>
          <w:b/>
          <w:sz w:val="36"/>
        </w:rPr>
      </w:pPr>
      <w:r>
        <w:rPr>
          <w:b/>
          <w:sz w:val="36"/>
        </w:rPr>
      </w:r>
    </w:p>
    <w:p>
      <w:pPr>
        <w:pStyle w:val="Normal"/>
        <w:pBdr>
          <w:top w:val="single" w:sz="12" w:space="1" w:color="000000"/>
          <w:left w:val="single" w:sz="12" w:space="1" w:color="000000"/>
          <w:bottom w:val="single" w:sz="12" w:space="1" w:color="000000"/>
          <w:right w:val="single" w:sz="12" w:space="1" w:color="000000"/>
        </w:pBdr>
        <w:jc w:val="center"/>
        <w:rPr>
          <w:b/>
          <w:sz w:val="36"/>
        </w:rPr>
      </w:pPr>
      <w:r>
        <w:rPr>
          <w:b/>
          <w:sz w:val="36"/>
        </w:rPr>
      </w:r>
    </w:p>
    <w:p>
      <w:pPr>
        <w:pStyle w:val="Normal"/>
        <w:pBdr>
          <w:top w:val="single" w:sz="12" w:space="1" w:color="000000"/>
          <w:left w:val="single" w:sz="12" w:space="1" w:color="000000"/>
          <w:bottom w:val="single" w:sz="12" w:space="1" w:color="000000"/>
          <w:right w:val="single" w:sz="12" w:space="1" w:color="000000"/>
        </w:pBdr>
        <w:jc w:val="center"/>
        <w:rPr>
          <w:b/>
          <w:sz w:val="36"/>
        </w:rPr>
      </w:pPr>
      <w:r>
        <w:rPr>
          <w:b/>
          <w:sz w:val="32"/>
        </w:rPr>
        <w:t>CALIFORNIA PUBLIC UTILITIES COMMISSION</w:t>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20"/>
        </w:rPr>
        <w:drawing>
          <wp:inline distT="0" distB="0" distL="0" distR="0">
            <wp:extent cx="629285" cy="206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7" t="-175" r="-57" b="-175"/>
                    <a:stretch>
                      <a:fillRect/>
                    </a:stretch>
                  </pic:blipFill>
                  <pic:spPr bwMode="auto">
                    <a:xfrm>
                      <a:off x="0" y="0"/>
                      <a:ext cx="629285" cy="206375"/>
                    </a:xfrm>
                    <a:prstGeom prst="rect">
                      <a:avLst/>
                    </a:prstGeom>
                    <a:noFill/>
                  </pic:spPr>
                </pic:pic>
              </a:graphicData>
            </a:graphic>
          </wp:inline>
        </w:drawing>
      </w:r>
    </w:p>
    <w:p>
      <w:pPr>
        <w:pStyle w:val="Normal"/>
        <w:pBdr>
          <w:top w:val="single" w:sz="12" w:space="1" w:color="000000"/>
          <w:left w:val="single" w:sz="12" w:space="1" w:color="000000"/>
          <w:bottom w:val="single" w:sz="12" w:space="1" w:color="000000"/>
          <w:right w:val="single" w:sz="12" w:space="1" w:color="000000"/>
        </w:pBdr>
        <w:jc w:val="center"/>
        <w:rPr>
          <w:b/>
          <w:sz w:val="28"/>
        </w:rPr>
      </w:pPr>
      <w:r>
        <w:rPr>
          <w:b/>
          <w:sz w:val="28"/>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28"/>
        </w:rPr>
        <w:t>Office of Ratepayer Advocates</w:t>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t>Report on</w:t>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t>Test Year 1999 General Rate Case – Phase 2</w:t>
      </w:r>
    </w:p>
    <w:p>
      <w:pPr>
        <w:pStyle w:val="Normal"/>
        <w:pBdr>
          <w:top w:val="single" w:sz="12" w:space="1" w:color="000000"/>
          <w:left w:val="single" w:sz="12" w:space="1" w:color="000000"/>
          <w:bottom w:val="single" w:sz="12" w:space="1" w:color="000000"/>
          <w:right w:val="single" w:sz="12" w:space="1" w:color="000000"/>
        </w:pBdr>
        <w:jc w:val="center"/>
        <w:rPr>
          <w:b/>
          <w:sz w:val="28"/>
        </w:rPr>
      </w:pPr>
      <w:r>
        <w:rPr>
          <w:b/>
          <w:sz w:val="28"/>
        </w:rPr>
      </w:r>
    </w:p>
    <w:p>
      <w:pPr>
        <w:pStyle w:val="Normal"/>
        <w:pBdr>
          <w:top w:val="single" w:sz="12" w:space="1" w:color="000000"/>
          <w:left w:val="single" w:sz="12" w:space="1" w:color="000000"/>
          <w:bottom w:val="single" w:sz="12" w:space="1" w:color="000000"/>
          <w:right w:val="single" w:sz="12" w:space="1" w:color="000000"/>
        </w:pBdr>
        <w:jc w:val="center"/>
        <w:rPr>
          <w:b/>
          <w:sz w:val="28"/>
        </w:rPr>
      </w:pPr>
      <w:r>
        <w:rPr>
          <w:b/>
          <w:sz w:val="28"/>
        </w:rPr>
        <w:t>For</w:t>
      </w:r>
    </w:p>
    <w:p>
      <w:pPr>
        <w:pStyle w:val="Normal"/>
        <w:pBdr>
          <w:top w:val="single" w:sz="12" w:space="1" w:color="000000"/>
          <w:left w:val="single" w:sz="12" w:space="1" w:color="000000"/>
          <w:bottom w:val="single" w:sz="12" w:space="1" w:color="000000"/>
          <w:right w:val="single" w:sz="12" w:space="1" w:color="000000"/>
        </w:pBdr>
        <w:jc w:val="center"/>
        <w:rPr>
          <w:b/>
          <w:sz w:val="28"/>
        </w:rPr>
      </w:pPr>
      <w:r>
        <w:rPr>
          <w:b/>
          <w:sz w:val="28"/>
        </w:rPr>
      </w:r>
    </w:p>
    <w:p>
      <w:pPr>
        <w:pStyle w:val="Normal"/>
        <w:pBdr>
          <w:top w:val="single" w:sz="12" w:space="1" w:color="000000"/>
          <w:left w:val="single" w:sz="12" w:space="1" w:color="000000"/>
          <w:bottom w:val="single" w:sz="12" w:space="1" w:color="000000"/>
          <w:right w:val="single" w:sz="12" w:space="1" w:color="000000"/>
        </w:pBdr>
        <w:jc w:val="center"/>
        <w:rPr>
          <w:b/>
          <w:sz w:val="28"/>
        </w:rPr>
      </w:pPr>
      <w:r>
        <w:rPr>
          <w:b/>
          <w:sz w:val="28"/>
        </w:rPr>
        <w:t>Pacific Gas and Electric Company, A.99-03-014</w:t>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b/>
          <w:sz w:val="32"/>
        </w:rPr>
      </w:pPr>
      <w:r>
        <w:rPr>
          <w:b/>
          <w:sz w:val="32"/>
        </w:rPr>
      </w:r>
    </w:p>
    <w:p>
      <w:pPr>
        <w:pStyle w:val="Normal"/>
        <w:pBdr>
          <w:top w:val="single" w:sz="12" w:space="1" w:color="000000"/>
          <w:left w:val="single" w:sz="12" w:space="1" w:color="000000"/>
          <w:bottom w:val="single" w:sz="12" w:space="1" w:color="000000"/>
          <w:right w:val="single" w:sz="12" w:space="1" w:color="000000"/>
        </w:pBdr>
        <w:jc w:val="center"/>
        <w:rPr>
          <w:i/>
          <w:i/>
        </w:rPr>
      </w:pPr>
      <w:r>
        <w:rPr>
          <w:i/>
        </w:rPr>
        <w:t>San Francisco, California</w:t>
      </w:r>
    </w:p>
    <w:p>
      <w:pPr>
        <w:sectPr>
          <w:type w:val="nextPage"/>
          <w:pgSz w:w="12240" w:h="15840"/>
          <w:pgMar w:left="1440" w:right="1440" w:gutter="0" w:header="0" w:top="1440" w:footer="0" w:bottom="1440"/>
          <w:lnNumType w:countBy="1" w:restart="newPage" w:distance="283"/>
          <w:pgNumType w:start="1" w:fmt="lowerRoman"/>
          <w:formProt w:val="false"/>
          <w:textDirection w:val="lrTb"/>
          <w:docGrid w:type="default" w:linePitch="360" w:charSpace="0"/>
        </w:sectPr>
        <w:pStyle w:val="Normal"/>
        <w:pBdr>
          <w:top w:val="single" w:sz="12" w:space="1" w:color="000000"/>
          <w:left w:val="single" w:sz="12" w:space="1" w:color="000000"/>
          <w:bottom w:val="single" w:sz="12" w:space="1" w:color="000000"/>
          <w:right w:val="single" w:sz="12" w:space="1" w:color="000000"/>
        </w:pBdr>
        <w:jc w:val="center"/>
        <w:rPr>
          <w:i/>
          <w:i/>
        </w:rPr>
      </w:pPr>
      <w:r>
        <w:rPr>
          <w:i/>
        </w:rPr>
        <w:t>September, 2000</w:t>
      </w:r>
    </w:p>
    <w:p>
      <w:pPr>
        <w:pStyle w:val="Heading4"/>
        <w:shd w:fill="FFFFFF" w:val="clear"/>
        <w:spacing w:lineRule="auto" w:line="240"/>
        <w:ind w:hanging="0" w:start="-720" w:end="-288"/>
        <w:rPr/>
      </w:pPr>
      <w:r>
        <w:rPr/>
        <w:t>OFFICE OF RATEPAYER ADVOCATES</w:t>
      </w:r>
    </w:p>
    <w:p>
      <w:pPr>
        <w:pStyle w:val="Heading4"/>
        <w:shd w:fill="FFFFFF" w:val="clear"/>
        <w:spacing w:lineRule="auto" w:line="240"/>
        <w:ind w:hanging="0" w:start="-720" w:end="-288"/>
        <w:rPr/>
      </w:pPr>
      <w:r>
        <w:rPr/>
        <w:t>Test Year 1999 General Rate Case – Phase 2</w:t>
      </w:r>
    </w:p>
    <w:p>
      <w:pPr>
        <w:pStyle w:val="Heading4"/>
        <w:shd w:fill="FFFFFF" w:val="clear"/>
        <w:spacing w:lineRule="auto" w:line="240"/>
        <w:ind w:hanging="0" w:start="-720" w:end="-288"/>
        <w:rPr/>
      </w:pPr>
      <w:r>
        <w:rPr/>
        <w:t>Pacific Gas and Electric Company, A.99-03-014</w:t>
      </w:r>
    </w:p>
    <w:p>
      <w:pPr>
        <w:pStyle w:val="Normal"/>
        <w:rPr/>
      </w:pPr>
      <w:r>
        <w:rPr/>
      </w:r>
    </w:p>
    <w:p>
      <w:pPr>
        <w:pStyle w:val="Heading4"/>
        <w:spacing w:lineRule="auto" w:line="240"/>
        <w:ind w:hanging="0" w:start="0"/>
        <w:rPr/>
      </w:pPr>
      <w:r>
        <w:rPr/>
        <w:t>TABLE OF CONTENTS</w:t>
      </w:r>
    </w:p>
    <w:p>
      <w:pPr>
        <w:pStyle w:val="Normal"/>
        <w:rPr/>
      </w:pPr>
      <w:r>
        <w:rPr/>
      </w:r>
    </w:p>
    <w:p>
      <w:pPr>
        <w:pStyle w:val="Normal"/>
        <w:widowControl w:val="false"/>
        <w:ind w:start="-720" w:end="-648"/>
        <w:rPr/>
      </w:pPr>
      <w:r>
        <w:rPr>
          <w:b/>
          <w:u w:val="single"/>
        </w:rPr>
        <w:t>Chapter and Section Nos.</w:t>
      </w:r>
      <w:r>
        <w:rPr>
          <w:b/>
        </w:rPr>
        <w:tab/>
        <w:tab/>
        <w:tab/>
      </w:r>
      <w:r>
        <w:rPr>
          <w:b/>
          <w:u w:val="single"/>
        </w:rPr>
        <w:t>Title</w:t>
      </w:r>
      <w:r>
        <w:rPr>
          <w:b/>
        </w:rPr>
        <w:tab/>
        <w:tab/>
        <w:tab/>
        <w:tab/>
        <w:tab/>
      </w:r>
      <w:r>
        <w:rPr>
          <w:b/>
          <w:u w:val="single"/>
        </w:rPr>
        <w:t>Witness</w:t>
      </w:r>
      <w:r>
        <w:rPr>
          <w:b/>
        </w:rPr>
        <w:tab/>
      </w:r>
      <w:r>
        <w:rPr>
          <w:b/>
          <w:u w:val="single"/>
        </w:rPr>
        <w:t>Page No.</w:t>
      </w:r>
    </w:p>
    <w:p>
      <w:pPr>
        <w:pStyle w:val="Normal"/>
        <w:widowControl w:val="false"/>
        <w:rPr>
          <w:b/>
          <w:u w:val="single"/>
        </w:rPr>
      </w:pPr>
      <w:r>
        <w:rPr>
          <w:b/>
          <w:u w:val="single"/>
        </w:rPr>
      </w:r>
    </w:p>
    <w:p>
      <w:pPr>
        <w:pStyle w:val="Heading8"/>
        <w:shd w:fill="F2F2F2" w:val="clear"/>
        <w:tabs>
          <w:tab w:val="clear" w:pos="1440"/>
          <w:tab w:val="clear" w:pos="8460"/>
        </w:tabs>
        <w:spacing w:before="0" w:after="0"/>
        <w:ind w:hanging="0" w:start="-360" w:end="-648"/>
        <w:rPr/>
      </w:pPr>
      <w:r>
        <w:rPr/>
        <w:t>1</w:t>
        <w:tab/>
        <w:t>INTRODUCTION</w:t>
      </w:r>
    </w:p>
    <w:p>
      <w:pPr>
        <w:pStyle w:val="Normal"/>
        <w:widowControl w:val="false"/>
        <w:tabs>
          <w:tab w:val="clear" w:pos="720"/>
          <w:tab w:val="left" w:pos="900" w:leader="none"/>
          <w:tab w:val="left" w:pos="6480" w:leader="none"/>
          <w:tab w:val="left" w:pos="8910" w:leader="none"/>
        </w:tabs>
        <w:ind w:end="-648"/>
        <w:rPr/>
      </w:pPr>
      <w:r>
        <w:rPr/>
      </w:r>
    </w:p>
    <w:p>
      <w:pPr>
        <w:pStyle w:val="Normal"/>
        <w:widowControl w:val="false"/>
        <w:tabs>
          <w:tab w:val="clear" w:pos="720"/>
          <w:tab w:val="left" w:pos="900" w:leader="none"/>
          <w:tab w:val="left" w:pos="6480" w:leader="none"/>
          <w:tab w:val="left" w:pos="8910" w:leader="none"/>
        </w:tabs>
        <w:ind w:end="-648"/>
        <w:rPr/>
      </w:pPr>
      <w:r>
        <w:rPr/>
        <w:t>1.1</w:t>
        <w:tab/>
        <w:t>Introduction</w:t>
        <w:tab/>
      </w:r>
      <w:r>
        <w:rPr>
          <w:b/>
        </w:rPr>
        <w:t>Christopher J. Blunt</w:t>
      </w:r>
      <w:r>
        <w:rPr/>
        <w:tab/>
        <w:t>1-1</w:t>
      </w:r>
    </w:p>
    <w:p>
      <w:pPr>
        <w:pStyle w:val="Normal"/>
        <w:widowControl w:val="false"/>
        <w:tabs>
          <w:tab w:val="clear" w:pos="720"/>
          <w:tab w:val="left" w:pos="900" w:leader="none"/>
          <w:tab w:val="left" w:pos="6480" w:leader="none"/>
          <w:tab w:val="left" w:pos="8910" w:leader="none"/>
        </w:tabs>
        <w:ind w:end="-648"/>
        <w:rPr/>
      </w:pPr>
      <w:r>
        <w:rPr/>
      </w:r>
    </w:p>
    <w:p>
      <w:pPr>
        <w:pStyle w:val="Heading8"/>
        <w:tabs>
          <w:tab w:val="clear" w:pos="1440"/>
          <w:tab w:val="clear" w:pos="8460"/>
        </w:tabs>
        <w:spacing w:before="0" w:after="0"/>
        <w:ind w:hanging="360" w:start="0" w:end="-648"/>
        <w:rPr/>
      </w:pPr>
      <w:r>
        <w:rPr/>
        <w:t>2</w:t>
        <w:tab/>
        <w:t>OVERALL POLICY</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2.1</w:t>
        <w:tab/>
        <w:t xml:space="preserve">Introduction and Overview </w:t>
        <w:tab/>
      </w:r>
      <w:r>
        <w:rPr>
          <w:b/>
        </w:rPr>
        <w:t>Sean F. Casey</w:t>
      </w:r>
      <w:r>
        <w:rPr/>
        <w:tab/>
        <w:t>2-1</w:t>
      </w:r>
    </w:p>
    <w:p>
      <w:pPr>
        <w:pStyle w:val="Normal"/>
        <w:widowControl w:val="false"/>
        <w:tabs>
          <w:tab w:val="clear" w:pos="720"/>
          <w:tab w:val="left" w:pos="900" w:leader="none"/>
          <w:tab w:val="left" w:pos="6480" w:leader="none"/>
          <w:tab w:val="left" w:pos="8910" w:leader="none"/>
        </w:tabs>
        <w:spacing w:lineRule="auto" w:line="312"/>
        <w:ind w:end="-648"/>
        <w:rPr/>
      </w:pPr>
      <w:r>
        <w:rPr/>
        <w:t>2.2</w:t>
        <w:tab/>
        <w:t xml:space="preserve">Background and Contexts of PG&amp;E’s Application and the </w:t>
      </w:r>
    </w:p>
    <w:p>
      <w:pPr>
        <w:pStyle w:val="Normal"/>
        <w:widowControl w:val="false"/>
        <w:tabs>
          <w:tab w:val="clear" w:pos="720"/>
          <w:tab w:val="left" w:pos="900" w:leader="none"/>
          <w:tab w:val="left" w:pos="6480" w:leader="none"/>
          <w:tab w:val="left" w:pos="8910" w:leader="none"/>
        </w:tabs>
        <w:spacing w:lineRule="auto" w:line="312"/>
        <w:ind w:end="-648"/>
        <w:rPr/>
      </w:pPr>
      <w:r>
        <w:rPr/>
        <w:tab/>
        <w:t>Effects of PX Price Increases on Small Customers</w:t>
        <w:tab/>
        <w:tab/>
        <w:t>2-2</w:t>
      </w:r>
    </w:p>
    <w:p>
      <w:pPr>
        <w:pStyle w:val="Normal"/>
        <w:widowControl w:val="false"/>
        <w:tabs>
          <w:tab w:val="clear" w:pos="720"/>
          <w:tab w:val="left" w:pos="900" w:leader="none"/>
          <w:tab w:val="left" w:pos="6480" w:leader="none"/>
          <w:tab w:val="left" w:pos="8910" w:leader="none"/>
        </w:tabs>
        <w:spacing w:lineRule="auto" w:line="312"/>
        <w:ind w:end="-648"/>
        <w:rPr/>
      </w:pPr>
      <w:r>
        <w:rPr/>
        <w:t>2.2.1</w:t>
        <w:tab/>
        <w:t>Effects of Distribution Rate Increases on Small Customers</w:t>
        <w:tab/>
        <w:t>2-3</w:t>
      </w:r>
    </w:p>
    <w:p>
      <w:pPr>
        <w:pStyle w:val="Normal"/>
        <w:widowControl w:val="false"/>
        <w:tabs>
          <w:tab w:val="clear" w:pos="720"/>
          <w:tab w:val="left" w:pos="900" w:leader="none"/>
          <w:tab w:val="left" w:pos="6480" w:leader="none"/>
          <w:tab w:val="left" w:pos="8910" w:leader="none"/>
        </w:tabs>
        <w:spacing w:lineRule="auto" w:line="312"/>
        <w:ind w:end="-648"/>
        <w:rPr/>
      </w:pPr>
      <w:r>
        <w:rPr/>
        <w:t>2.2.2</w:t>
        <w:tab/>
        <w:t>Methodological Uniformity</w:t>
        <w:tab/>
        <w:tab/>
        <w:t>2-4</w:t>
      </w:r>
    </w:p>
    <w:p>
      <w:pPr>
        <w:pStyle w:val="Normal"/>
        <w:widowControl w:val="false"/>
        <w:tabs>
          <w:tab w:val="clear" w:pos="720"/>
          <w:tab w:val="left" w:pos="900" w:leader="none"/>
          <w:tab w:val="left" w:pos="6480" w:leader="none"/>
          <w:tab w:val="left" w:pos="8910" w:leader="none"/>
        </w:tabs>
        <w:spacing w:lineRule="auto" w:line="312"/>
        <w:ind w:end="-648"/>
        <w:rPr/>
      </w:pPr>
      <w:r>
        <w:rPr/>
        <w:t>2.2.3</w:t>
        <w:tab/>
        <w:t>Other Issues</w:t>
        <w:tab/>
        <w:tab/>
        <w:t>2-5</w:t>
      </w:r>
    </w:p>
    <w:p>
      <w:pPr>
        <w:pStyle w:val="Normal"/>
        <w:widowControl w:val="false"/>
        <w:tabs>
          <w:tab w:val="clear" w:pos="720"/>
          <w:tab w:val="left" w:pos="900" w:leader="none"/>
          <w:tab w:val="left" w:pos="6480" w:leader="none"/>
          <w:tab w:val="left" w:pos="8910" w:leader="none"/>
        </w:tabs>
        <w:spacing w:lineRule="auto" w:line="312"/>
        <w:ind w:end="-648"/>
        <w:rPr/>
      </w:pPr>
      <w:r>
        <w:rPr/>
        <w:t>2.3</w:t>
        <w:tab/>
        <w:t>Marginal Cost Analysis</w:t>
        <w:tab/>
        <w:tab/>
        <w:t>2-5</w:t>
      </w:r>
    </w:p>
    <w:p>
      <w:pPr>
        <w:pStyle w:val="Normal"/>
        <w:widowControl w:val="false"/>
        <w:tabs>
          <w:tab w:val="clear" w:pos="720"/>
          <w:tab w:val="left" w:pos="900" w:leader="none"/>
          <w:tab w:val="left" w:pos="6480" w:leader="none"/>
          <w:tab w:val="left" w:pos="8910" w:leader="none"/>
        </w:tabs>
        <w:spacing w:lineRule="auto" w:line="312"/>
        <w:ind w:end="-648"/>
        <w:rPr/>
      </w:pPr>
      <w:r>
        <w:rPr/>
        <w:t>2.4</w:t>
        <w:tab/>
        <w:t>Revenue Allocation</w:t>
        <w:tab/>
        <w:tab/>
        <w:t>2-6</w:t>
      </w:r>
    </w:p>
    <w:p>
      <w:pPr>
        <w:pStyle w:val="Normal"/>
        <w:widowControl w:val="false"/>
        <w:tabs>
          <w:tab w:val="clear" w:pos="720"/>
          <w:tab w:val="left" w:pos="900" w:leader="none"/>
          <w:tab w:val="left" w:pos="6480" w:leader="none"/>
          <w:tab w:val="left" w:pos="8910" w:leader="none"/>
        </w:tabs>
        <w:spacing w:lineRule="auto" w:line="312"/>
        <w:ind w:end="-648"/>
        <w:rPr/>
      </w:pPr>
      <w:r>
        <w:rPr/>
        <w:t>2.5</w:t>
        <w:tab/>
        <w:t>Rate Design</w:t>
        <w:tab/>
        <w:tab/>
        <w:t>2-8</w:t>
      </w:r>
    </w:p>
    <w:p>
      <w:pPr>
        <w:pStyle w:val="Normal"/>
        <w:widowControl w:val="false"/>
        <w:tabs>
          <w:tab w:val="clear" w:pos="720"/>
          <w:tab w:val="left" w:pos="900" w:leader="none"/>
          <w:tab w:val="left" w:pos="6480" w:leader="none"/>
          <w:tab w:val="left" w:pos="8910" w:leader="none"/>
        </w:tabs>
        <w:spacing w:lineRule="auto" w:line="312"/>
        <w:ind w:end="-648"/>
        <w:rPr/>
      </w:pPr>
      <w:r>
        <w:rPr/>
        <w:t>2.5.1</w:t>
        <w:tab/>
        <w:t>Background</w:t>
        <w:tab/>
        <w:tab/>
        <w:t>2-8</w:t>
      </w:r>
    </w:p>
    <w:p>
      <w:pPr>
        <w:pStyle w:val="Normal"/>
        <w:widowControl w:val="false"/>
        <w:tabs>
          <w:tab w:val="clear" w:pos="720"/>
          <w:tab w:val="left" w:pos="900" w:leader="none"/>
          <w:tab w:val="left" w:pos="6480" w:leader="none"/>
          <w:tab w:val="left" w:pos="8910" w:leader="none"/>
        </w:tabs>
        <w:spacing w:lineRule="auto" w:line="312"/>
        <w:ind w:end="-648"/>
        <w:rPr/>
      </w:pPr>
      <w:r>
        <w:rPr/>
        <w:t>2.5.2</w:t>
        <w:tab/>
        <w:t>Distribution Rates</w:t>
        <w:tab/>
        <w:tab/>
        <w:t>2-8</w:t>
      </w:r>
    </w:p>
    <w:p>
      <w:pPr>
        <w:pStyle w:val="Normal"/>
        <w:widowControl w:val="false"/>
        <w:tabs>
          <w:tab w:val="clear" w:pos="720"/>
          <w:tab w:val="left" w:pos="900" w:leader="none"/>
          <w:tab w:val="left" w:pos="6480" w:leader="none"/>
          <w:tab w:val="left" w:pos="8910" w:leader="none"/>
        </w:tabs>
        <w:spacing w:lineRule="auto" w:line="312"/>
        <w:ind w:end="-648"/>
        <w:rPr/>
      </w:pPr>
      <w:r>
        <w:rPr/>
        <w:t>2.5.3</w:t>
        <w:tab/>
        <w:t>Other Rate Design Issues</w:t>
        <w:tab/>
        <w:tab/>
        <w:t>2-9</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Heading5"/>
        <w:tabs>
          <w:tab w:val="clear" w:pos="720"/>
          <w:tab w:val="clear" w:pos="1440"/>
          <w:tab w:val="clear" w:pos="8460"/>
        </w:tabs>
        <w:spacing w:lineRule="auto" w:line="312" w:before="0" w:after="0"/>
        <w:ind w:hanging="0" w:start="-360" w:end="-648"/>
        <w:rPr/>
      </w:pPr>
      <w:r>
        <w:rPr/>
        <w:t>3</w:t>
        <w:tab/>
        <w:t>MARGINAL COSTS</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3.1</w:t>
        <w:tab/>
        <w:t>Introduction and Overview</w:t>
        <w:tab/>
      </w:r>
      <w:r>
        <w:rPr>
          <w:b/>
        </w:rPr>
        <w:t>Donald R. Smith</w:t>
      </w:r>
      <w:r>
        <w:rPr/>
        <w:tab/>
        <w:t>3-1</w:t>
      </w:r>
    </w:p>
    <w:p>
      <w:pPr>
        <w:pStyle w:val="Normal"/>
        <w:widowControl w:val="false"/>
        <w:tabs>
          <w:tab w:val="clear" w:pos="720"/>
          <w:tab w:val="left" w:pos="900" w:leader="none"/>
          <w:tab w:val="left" w:pos="6480" w:leader="none"/>
          <w:tab w:val="left" w:pos="8910" w:leader="none"/>
        </w:tabs>
        <w:spacing w:lineRule="auto" w:line="312"/>
        <w:ind w:end="-648"/>
        <w:rPr/>
      </w:pPr>
      <w:r>
        <w:rPr/>
        <w:t>3.2</w:t>
        <w:tab/>
        <w:t>Specific Proposals of the Office of Ratepayer Advocates</w:t>
        <w:tab/>
        <w:tab/>
        <w:t>3-2</w:t>
      </w:r>
    </w:p>
    <w:p>
      <w:pPr>
        <w:pStyle w:val="Normal"/>
        <w:widowControl w:val="false"/>
        <w:numPr>
          <w:ilvl w:val="2"/>
          <w:numId w:val="11"/>
        </w:numPr>
        <w:tabs>
          <w:tab w:val="clear" w:pos="720"/>
          <w:tab w:val="left" w:pos="6480" w:leader="none"/>
          <w:tab w:val="left" w:pos="8910" w:leader="none"/>
        </w:tabs>
        <w:spacing w:lineRule="auto" w:line="312"/>
        <w:ind w:hanging="900" w:start="900" w:end="-648"/>
        <w:rPr/>
      </w:pPr>
      <w:r>
        <w:rPr/>
        <w:t>ORA Opposes PG&amp;E’s Proposed Shift of New Business Primary</w:t>
      </w:r>
    </w:p>
    <w:p>
      <w:pPr>
        <w:pStyle w:val="Normal"/>
        <w:widowControl w:val="false"/>
        <w:tabs>
          <w:tab w:val="clear" w:pos="720"/>
          <w:tab w:val="left" w:pos="900" w:leader="none"/>
          <w:tab w:val="left" w:pos="6480" w:leader="none"/>
          <w:tab w:val="left" w:pos="8910" w:leader="none"/>
        </w:tabs>
        <w:spacing w:lineRule="auto" w:line="312"/>
        <w:ind w:end="-648"/>
        <w:rPr/>
      </w:pPr>
      <w:r>
        <w:rPr/>
        <w:tab/>
        <w:t>Distribution Installation Costs to the Customer Access Marginal Costs</w:t>
        <w:tab/>
        <w:t>3-2</w:t>
      </w:r>
    </w:p>
    <w:p>
      <w:pPr>
        <w:pStyle w:val="Normal"/>
        <w:widowControl w:val="false"/>
        <w:tabs>
          <w:tab w:val="clear" w:pos="720"/>
          <w:tab w:val="left" w:pos="6480" w:leader="none"/>
          <w:tab w:val="left" w:pos="8910" w:leader="none"/>
        </w:tabs>
        <w:spacing w:lineRule="auto" w:line="312"/>
        <w:ind w:hanging="900" w:start="900" w:end="-648"/>
        <w:rPr/>
      </w:pPr>
      <w:r>
        <w:rPr/>
        <w:t>3.2.2</w:t>
        <w:tab/>
        <w:t>ORA Proposes a Distribution Replacement Cost Adder</w:t>
        <w:tab/>
        <w:tab/>
        <w:t>3-3</w:t>
      </w:r>
    </w:p>
    <w:p>
      <w:pPr>
        <w:pStyle w:val="Heading4"/>
        <w:shd w:fill="FFFFFF" w:val="clear"/>
        <w:spacing w:lineRule="auto" w:line="240"/>
        <w:ind w:hanging="0" w:start="-720" w:end="-288"/>
        <w:rPr/>
      </w:pPr>
      <w:r>
        <w:rPr/>
        <w:t>OFFICE OF RATEPAYER ADVOCATES</w:t>
      </w:r>
    </w:p>
    <w:p>
      <w:pPr>
        <w:pStyle w:val="Heading4"/>
        <w:shd w:fill="FFFFFF" w:val="clear"/>
        <w:spacing w:lineRule="auto" w:line="240"/>
        <w:ind w:hanging="0" w:start="-720" w:end="-288"/>
        <w:rPr/>
      </w:pPr>
      <w:r>
        <w:rPr/>
        <w:t>Test Year 1999 General Rate Case – Phase 2</w:t>
      </w:r>
    </w:p>
    <w:p>
      <w:pPr>
        <w:pStyle w:val="Heading4"/>
        <w:shd w:fill="FFFFFF" w:val="clear"/>
        <w:spacing w:lineRule="auto" w:line="240"/>
        <w:ind w:hanging="0" w:start="-720" w:end="-288"/>
        <w:rPr/>
      </w:pPr>
      <w:r>
        <w:rPr/>
        <w:t>Pacific Gas and Electric Company, A.99-03-014</w:t>
      </w:r>
    </w:p>
    <w:p>
      <w:pPr>
        <w:pStyle w:val="Heading4"/>
        <w:spacing w:lineRule="auto" w:line="240"/>
        <w:ind w:hanging="0" w:start="-360" w:end="0"/>
        <w:rPr/>
      </w:pPr>
      <w:r>
        <w:rPr/>
      </w:r>
    </w:p>
    <w:p>
      <w:pPr>
        <w:pStyle w:val="Heading4"/>
        <w:spacing w:lineRule="auto" w:line="240"/>
        <w:ind w:hanging="0" w:start="-360" w:end="0"/>
        <w:rPr/>
      </w:pPr>
      <w:r>
        <w:rPr/>
        <w:t>TABLE OF CONTENTS – (continued)</w:t>
      </w:r>
    </w:p>
    <w:p>
      <w:pPr>
        <w:pStyle w:val="Normal"/>
        <w:rPr/>
      </w:pPr>
      <w:r>
        <w:rPr/>
      </w:r>
    </w:p>
    <w:p>
      <w:pPr>
        <w:pStyle w:val="Normal"/>
        <w:widowControl w:val="false"/>
        <w:ind w:start="-360" w:end="-648"/>
        <w:rPr/>
      </w:pPr>
      <w:r>
        <w:rPr>
          <w:b/>
          <w:u w:val="single"/>
        </w:rPr>
        <w:t>Chapter and Section Nos.</w:t>
      </w:r>
      <w:r>
        <w:rPr>
          <w:b/>
        </w:rPr>
        <w:tab/>
        <w:tab/>
        <w:tab/>
      </w:r>
      <w:r>
        <w:rPr>
          <w:b/>
          <w:u w:val="single"/>
        </w:rPr>
        <w:t>Title</w:t>
      </w:r>
      <w:r>
        <w:rPr>
          <w:b/>
        </w:rPr>
        <w:tab/>
        <w:tab/>
        <w:tab/>
        <w:tab/>
      </w:r>
      <w:r>
        <w:rPr>
          <w:b/>
          <w:u w:val="single"/>
        </w:rPr>
        <w:t>Witness</w:t>
      </w:r>
      <w:r>
        <w:rPr>
          <w:b/>
        </w:rPr>
        <w:tab/>
      </w:r>
      <w:r>
        <w:rPr>
          <w:b/>
          <w:u w:val="single"/>
        </w:rPr>
        <w:t>Page No</w:t>
      </w:r>
    </w:p>
    <w:p>
      <w:pPr>
        <w:pStyle w:val="Normal"/>
        <w:widowControl w:val="false"/>
        <w:ind w:start="-360" w:end="-648"/>
        <w:rPr>
          <w:b/>
          <w:u w:val="single"/>
        </w:rPr>
      </w:pPr>
      <w:r>
        <w:rPr>
          <w:b/>
          <w:u w:val="single"/>
        </w:rPr>
      </w:r>
    </w:p>
    <w:p>
      <w:pPr>
        <w:pStyle w:val="Heading5"/>
        <w:tabs>
          <w:tab w:val="clear" w:pos="720"/>
          <w:tab w:val="clear" w:pos="1440"/>
          <w:tab w:val="clear" w:pos="8460"/>
        </w:tabs>
        <w:spacing w:lineRule="auto" w:line="312" w:before="0" w:after="0"/>
        <w:ind w:hanging="0" w:start="-360" w:end="-648"/>
        <w:rPr/>
      </w:pPr>
      <w:r>
        <w:rPr/>
        <w:t>3</w:t>
        <w:tab/>
        <w:t>MARGINAL COSTS - Continued</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3.2.3</w:t>
        <w:tab/>
        <w:t>ORA Challenges the New Business 3-Year Recorded</w:t>
        <w:tab/>
      </w:r>
      <w:r>
        <w:rPr>
          <w:b/>
        </w:rPr>
        <w:t>Donald R. Smith</w:t>
      </w:r>
      <w:r>
        <w:rPr/>
        <w:tab/>
      </w:r>
    </w:p>
    <w:p>
      <w:pPr>
        <w:pStyle w:val="Normal"/>
        <w:widowControl w:val="false"/>
        <w:tabs>
          <w:tab w:val="clear" w:pos="720"/>
          <w:tab w:val="left" w:pos="900" w:leader="none"/>
          <w:tab w:val="left" w:pos="6480" w:leader="none"/>
          <w:tab w:val="left" w:pos="8910" w:leader="none"/>
        </w:tabs>
        <w:spacing w:lineRule="auto" w:line="312"/>
        <w:ind w:end="-648"/>
        <w:rPr/>
      </w:pPr>
      <w:r>
        <w:rPr/>
        <w:tab/>
        <w:t>Growth Numbers for the Small Commercial Class</w:t>
        <w:tab/>
        <w:tab/>
        <w:t>3-4</w:t>
      </w:r>
    </w:p>
    <w:p>
      <w:pPr>
        <w:pStyle w:val="Normal"/>
        <w:widowControl w:val="false"/>
        <w:numPr>
          <w:ilvl w:val="2"/>
          <w:numId w:val="13"/>
        </w:numPr>
        <w:tabs>
          <w:tab w:val="clear" w:pos="720"/>
          <w:tab w:val="left" w:pos="6480" w:leader="none"/>
          <w:tab w:val="left" w:pos="8910" w:leader="none"/>
        </w:tabs>
        <w:spacing w:lineRule="auto" w:line="312"/>
        <w:ind w:hanging="900" w:start="900" w:end="-648"/>
        <w:rPr/>
      </w:pPr>
      <w:r>
        <w:rPr/>
        <w:t xml:space="preserve">ORA Challenges the Method of Finding the Cost of New </w:t>
        <w:tab/>
        <w:t>Residential</w:t>
      </w:r>
    </w:p>
    <w:p>
      <w:pPr>
        <w:pStyle w:val="Normal"/>
        <w:widowControl w:val="false"/>
        <w:tabs>
          <w:tab w:val="clear" w:pos="720"/>
          <w:tab w:val="left" w:pos="900" w:leader="none"/>
          <w:tab w:val="left" w:pos="6480" w:leader="none"/>
          <w:tab w:val="left" w:pos="8910" w:leader="none"/>
        </w:tabs>
        <w:spacing w:lineRule="auto" w:line="312"/>
        <w:ind w:end="-648"/>
        <w:rPr/>
      </w:pPr>
      <w:r>
        <w:rPr/>
        <w:tab/>
        <w:t>Customers Using a “Typical Customers” for Each of Four Areas</w:t>
        <w:tab/>
        <w:t>3-4</w:t>
      </w:r>
    </w:p>
    <w:p>
      <w:pPr>
        <w:pStyle w:val="Normal"/>
        <w:widowControl w:val="false"/>
        <w:tabs>
          <w:tab w:val="clear" w:pos="720"/>
          <w:tab w:val="left" w:pos="900" w:leader="none"/>
          <w:tab w:val="left" w:pos="6480" w:leader="none"/>
          <w:tab w:val="left" w:pos="8910" w:leader="none"/>
        </w:tabs>
        <w:spacing w:lineRule="auto" w:line="312"/>
        <w:ind w:end="-648"/>
        <w:rPr/>
      </w:pPr>
      <w:r>
        <w:rPr/>
        <w:t>3.2.5</w:t>
        <w:tab/>
        <w:t>ORA Alternate Proposal, EPMC based on “Demand Only”</w:t>
        <w:tab/>
        <w:t>3-5</w:t>
      </w:r>
    </w:p>
    <w:p>
      <w:pPr>
        <w:pStyle w:val="Normal"/>
        <w:widowControl w:val="false"/>
        <w:tabs>
          <w:tab w:val="clear" w:pos="720"/>
          <w:tab w:val="left" w:pos="6480" w:leader="none"/>
          <w:tab w:val="left" w:pos="8910" w:leader="none"/>
        </w:tabs>
        <w:spacing w:lineRule="auto" w:line="312"/>
        <w:ind w:hanging="900" w:start="900" w:end="-648"/>
        <w:rPr/>
      </w:pPr>
      <w:r>
        <w:rPr/>
        <w:t>3.3</w:t>
        <w:tab/>
        <w:t>Recommendation</w:t>
        <w:tab/>
        <w:tab/>
        <w:t>3-6</w:t>
      </w:r>
    </w:p>
    <w:p>
      <w:pPr>
        <w:pStyle w:val="Normal"/>
        <w:widowControl w:val="false"/>
        <w:tabs>
          <w:tab w:val="clear" w:pos="720"/>
          <w:tab w:val="left" w:pos="6480" w:leader="none"/>
          <w:tab w:val="left" w:pos="8910" w:leader="none"/>
        </w:tabs>
        <w:spacing w:lineRule="auto" w:line="312"/>
        <w:ind w:hanging="900" w:start="900" w:end="-648"/>
        <w:rPr/>
      </w:pPr>
      <w:r>
        <w:rPr/>
      </w:r>
    </w:p>
    <w:p>
      <w:pPr>
        <w:pStyle w:val="Heading5"/>
        <w:tabs>
          <w:tab w:val="clear" w:pos="720"/>
          <w:tab w:val="clear" w:pos="1440"/>
          <w:tab w:val="clear" w:pos="8460"/>
        </w:tabs>
        <w:spacing w:before="0" w:after="0"/>
        <w:ind w:hanging="0" w:start="-360" w:end="-648"/>
        <w:rPr/>
      </w:pPr>
      <w:r>
        <w:rPr/>
        <w:t>4</w:t>
        <w:tab/>
        <w:t>REVENUE ALLOCATION</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4.1</w:t>
        <w:tab/>
        <w:t>Introduction and Overview</w:t>
        <w:tab/>
      </w:r>
      <w:r>
        <w:rPr>
          <w:b/>
        </w:rPr>
        <w:t>Scarlett C. Liang-Uejio</w:t>
      </w:r>
      <w:r>
        <w:rPr/>
        <w:tab/>
        <w:t>4-1</w:t>
      </w:r>
    </w:p>
    <w:p>
      <w:pPr>
        <w:pStyle w:val="Normal"/>
        <w:widowControl w:val="false"/>
        <w:tabs>
          <w:tab w:val="clear" w:pos="720"/>
          <w:tab w:val="left" w:pos="900" w:leader="none"/>
          <w:tab w:val="left" w:pos="6480" w:leader="none"/>
          <w:tab w:val="left" w:pos="8910" w:leader="none"/>
        </w:tabs>
        <w:spacing w:lineRule="auto" w:line="312"/>
        <w:ind w:end="-648"/>
        <w:rPr/>
      </w:pPr>
      <w:r>
        <w:rPr/>
        <w:t>4.2</w:t>
        <w:tab/>
        <w:t>Revenue Requirement</w:t>
        <w:tab/>
        <w:tab/>
        <w:t>4-3</w:t>
      </w:r>
    </w:p>
    <w:p>
      <w:pPr>
        <w:pStyle w:val="Normal"/>
        <w:widowControl w:val="false"/>
        <w:tabs>
          <w:tab w:val="clear" w:pos="720"/>
          <w:tab w:val="left" w:pos="900" w:leader="none"/>
          <w:tab w:val="left" w:pos="6480" w:leader="none"/>
          <w:tab w:val="left" w:pos="8910" w:leader="none"/>
        </w:tabs>
        <w:spacing w:lineRule="auto" w:line="312"/>
        <w:ind w:end="-648"/>
        <w:rPr/>
      </w:pPr>
      <w:r>
        <w:rPr/>
        <w:t>4.2.1</w:t>
        <w:tab/>
        <w:t>Distribution Revenue Requirement</w:t>
        <w:tab/>
        <w:tab/>
        <w:t>4-3</w:t>
      </w:r>
    </w:p>
    <w:p>
      <w:pPr>
        <w:pStyle w:val="Normal"/>
        <w:widowControl w:val="false"/>
        <w:tabs>
          <w:tab w:val="clear" w:pos="720"/>
          <w:tab w:val="left" w:pos="900" w:leader="none"/>
          <w:tab w:val="left" w:pos="6480" w:leader="none"/>
          <w:tab w:val="left" w:pos="8910" w:leader="none"/>
        </w:tabs>
        <w:spacing w:lineRule="auto" w:line="312"/>
        <w:ind w:end="-648"/>
        <w:rPr/>
      </w:pPr>
      <w:r>
        <w:rPr/>
        <w:t>4.2.2</w:t>
        <w:tab/>
        <w:t>Non-CARE Public Purpose Program and CARE Revenue Requirement</w:t>
        <w:tab/>
        <w:t>4-4</w:t>
      </w:r>
    </w:p>
    <w:p>
      <w:pPr>
        <w:pStyle w:val="Normal"/>
        <w:widowControl w:val="false"/>
        <w:tabs>
          <w:tab w:val="clear" w:pos="720"/>
          <w:tab w:val="left" w:pos="900" w:leader="none"/>
          <w:tab w:val="left" w:pos="6480" w:leader="none"/>
          <w:tab w:val="left" w:pos="8910" w:leader="none"/>
        </w:tabs>
        <w:spacing w:lineRule="auto" w:line="312"/>
        <w:ind w:end="-648"/>
        <w:rPr/>
      </w:pPr>
      <w:r>
        <w:rPr/>
        <w:t>4.2.3</w:t>
        <w:tab/>
        <w:t>Generation Revenue and a Proxy for PX Clearing Price</w:t>
        <w:tab/>
        <w:tab/>
        <w:t>4-5</w:t>
      </w:r>
    </w:p>
    <w:p>
      <w:pPr>
        <w:pStyle w:val="Normal"/>
        <w:widowControl w:val="false"/>
        <w:tabs>
          <w:tab w:val="clear" w:pos="720"/>
          <w:tab w:val="left" w:pos="900" w:leader="none"/>
          <w:tab w:val="left" w:pos="6480" w:leader="none"/>
          <w:tab w:val="left" w:pos="8910" w:leader="none"/>
        </w:tabs>
        <w:spacing w:lineRule="auto" w:line="312"/>
        <w:ind w:end="-648"/>
        <w:rPr/>
      </w:pPr>
      <w:r>
        <w:rPr/>
        <w:t>4.2.4</w:t>
        <w:tab/>
        <w:t>Competition Transition Charge Revenue Requirement</w:t>
        <w:tab/>
        <w:tab/>
        <w:t>4-6</w:t>
      </w:r>
    </w:p>
    <w:p>
      <w:pPr>
        <w:pStyle w:val="Normal"/>
        <w:widowControl w:val="false"/>
        <w:tabs>
          <w:tab w:val="clear" w:pos="720"/>
          <w:tab w:val="left" w:pos="900" w:leader="none"/>
          <w:tab w:val="left" w:pos="6480" w:leader="none"/>
          <w:tab w:val="left" w:pos="8910" w:leader="none"/>
        </w:tabs>
        <w:spacing w:lineRule="auto" w:line="312"/>
        <w:ind w:end="-648"/>
        <w:rPr/>
      </w:pPr>
      <w:r>
        <w:rPr/>
        <w:t>4.2.5</w:t>
        <w:tab/>
        <w:t>Nuclear Decommissioning Revenue Requirement</w:t>
        <w:tab/>
        <w:tab/>
        <w:t>4-6</w:t>
      </w:r>
    </w:p>
    <w:p>
      <w:pPr>
        <w:pStyle w:val="Normal"/>
        <w:widowControl w:val="false"/>
        <w:numPr>
          <w:ilvl w:val="2"/>
          <w:numId w:val="15"/>
        </w:numPr>
        <w:tabs>
          <w:tab w:val="clear" w:pos="720"/>
          <w:tab w:val="left" w:pos="6480" w:leader="none"/>
          <w:tab w:val="left" w:pos="8910" w:leader="none"/>
        </w:tabs>
        <w:spacing w:lineRule="auto" w:line="312"/>
        <w:ind w:hanging="900" w:start="900" w:end="-648"/>
        <w:rPr/>
      </w:pPr>
      <w:r>
        <w:rPr/>
        <w:t>Fixed Transition Amount and Rate Reduction Bond</w:t>
      </w:r>
    </w:p>
    <w:p>
      <w:pPr>
        <w:pStyle w:val="Normal"/>
        <w:widowControl w:val="false"/>
        <w:tabs>
          <w:tab w:val="clear" w:pos="720"/>
          <w:tab w:val="left" w:pos="900" w:leader="none"/>
          <w:tab w:val="left" w:pos="6480" w:leader="none"/>
          <w:tab w:val="left" w:pos="8910" w:leader="none"/>
        </w:tabs>
        <w:spacing w:lineRule="auto" w:line="312"/>
        <w:ind w:end="-648"/>
        <w:rPr/>
      </w:pPr>
      <w:r>
        <w:rPr/>
        <w:tab/>
        <w:t>Memorandum Account Revenue Requirement</w:t>
        <w:tab/>
        <w:tab/>
        <w:t>4-6</w:t>
      </w:r>
    </w:p>
    <w:p>
      <w:pPr>
        <w:pStyle w:val="Normal"/>
        <w:widowControl w:val="false"/>
        <w:tabs>
          <w:tab w:val="clear" w:pos="720"/>
          <w:tab w:val="left" w:pos="900" w:leader="none"/>
          <w:tab w:val="left" w:pos="6480" w:leader="none"/>
          <w:tab w:val="left" w:pos="8910" w:leader="none"/>
        </w:tabs>
        <w:spacing w:lineRule="auto" w:line="312"/>
        <w:ind w:end="-648"/>
        <w:rPr/>
      </w:pPr>
      <w:r>
        <w:rPr/>
        <w:t>4.2.7</w:t>
        <w:tab/>
        <w:t>Restructuring Implementation Costs</w:t>
        <w:tab/>
        <w:tab/>
        <w:t>4-6</w:t>
      </w:r>
    </w:p>
    <w:p>
      <w:pPr>
        <w:pStyle w:val="Normal"/>
        <w:widowControl w:val="false"/>
        <w:tabs>
          <w:tab w:val="clear" w:pos="720"/>
          <w:tab w:val="left" w:pos="900" w:leader="none"/>
          <w:tab w:val="left" w:pos="6480" w:leader="none"/>
          <w:tab w:val="left" w:pos="8910" w:leader="none"/>
        </w:tabs>
        <w:spacing w:lineRule="auto" w:line="312"/>
        <w:ind w:end="-648"/>
        <w:rPr/>
      </w:pPr>
      <w:r>
        <w:rPr/>
        <w:t>4.2.8</w:t>
        <w:tab/>
        <w:t>Transmission Revenue Requirement</w:t>
        <w:tab/>
        <w:tab/>
        <w:t>4-7</w:t>
      </w:r>
    </w:p>
    <w:p>
      <w:pPr>
        <w:pStyle w:val="Normal"/>
        <w:widowControl w:val="false"/>
        <w:tabs>
          <w:tab w:val="clear" w:pos="720"/>
          <w:tab w:val="left" w:pos="900" w:leader="none"/>
          <w:tab w:val="left" w:pos="6480" w:leader="none"/>
          <w:tab w:val="left" w:pos="8910" w:leader="none"/>
        </w:tabs>
        <w:spacing w:lineRule="auto" w:line="312"/>
        <w:ind w:end="-648"/>
        <w:rPr/>
      </w:pPr>
      <w:r>
        <w:rPr/>
        <w:t>4.2.9</w:t>
        <w:tab/>
        <w:t xml:space="preserve">Reliability Must Run Revenue Requirement </w:t>
        <w:tab/>
        <w:tab/>
        <w:t>4-7</w:t>
      </w:r>
    </w:p>
    <w:p>
      <w:pPr>
        <w:pStyle w:val="Normal"/>
        <w:widowControl w:val="false"/>
        <w:tabs>
          <w:tab w:val="clear" w:pos="720"/>
          <w:tab w:val="left" w:pos="900" w:leader="none"/>
          <w:tab w:val="left" w:pos="6480" w:leader="none"/>
          <w:tab w:val="left" w:pos="8910" w:leader="none"/>
        </w:tabs>
        <w:spacing w:lineRule="auto" w:line="312"/>
        <w:ind w:end="-648"/>
        <w:rPr/>
      </w:pPr>
      <w:r>
        <w:rPr/>
        <w:t>4.3</w:t>
        <w:tab/>
        <w:t>1999 Sales Forecast</w:t>
        <w:tab/>
        <w:tab/>
        <w:t>4-7</w:t>
      </w:r>
    </w:p>
    <w:p>
      <w:pPr>
        <w:pStyle w:val="Normal"/>
        <w:widowControl w:val="false"/>
        <w:tabs>
          <w:tab w:val="clear" w:pos="720"/>
          <w:tab w:val="left" w:pos="900" w:leader="none"/>
          <w:tab w:val="left" w:pos="6480" w:leader="none"/>
          <w:tab w:val="left" w:pos="8910" w:leader="none"/>
        </w:tabs>
        <w:spacing w:lineRule="auto" w:line="312"/>
        <w:ind w:end="-648"/>
        <w:rPr/>
      </w:pPr>
      <w:r>
        <w:rPr/>
        <w:t>4.4</w:t>
        <w:tab/>
        <w:t>Marginal Cost Revenue</w:t>
        <w:tab/>
        <w:tab/>
        <w:t>4-7</w:t>
      </w:r>
    </w:p>
    <w:p>
      <w:pPr>
        <w:pStyle w:val="Normal"/>
        <w:widowControl w:val="false"/>
        <w:tabs>
          <w:tab w:val="clear" w:pos="720"/>
          <w:tab w:val="left" w:pos="900" w:leader="none"/>
          <w:tab w:val="left" w:pos="6480" w:leader="none"/>
          <w:tab w:val="left" w:pos="8910" w:leader="none"/>
        </w:tabs>
        <w:spacing w:lineRule="auto" w:line="312"/>
        <w:ind w:end="-648"/>
        <w:rPr/>
      </w:pPr>
      <w:r>
        <w:rPr/>
        <w:t>4.4.1</w:t>
        <w:tab/>
        <w:t>Marginal Customer Cost Revenue</w:t>
        <w:tab/>
        <w:tab/>
        <w:t>4-8</w:t>
      </w:r>
    </w:p>
    <w:p>
      <w:pPr>
        <w:pStyle w:val="Heading4"/>
        <w:shd w:fill="FFFFFF" w:val="clear"/>
        <w:spacing w:lineRule="auto" w:line="240"/>
        <w:ind w:hanging="0" w:start="-720" w:end="-288"/>
        <w:rPr/>
      </w:pPr>
      <w:r>
        <w:rPr/>
        <w:t>OFFICE OF RATEPAYER ADVOCATES</w:t>
      </w:r>
    </w:p>
    <w:p>
      <w:pPr>
        <w:pStyle w:val="Heading4"/>
        <w:shd w:fill="FFFFFF" w:val="clear"/>
        <w:spacing w:lineRule="auto" w:line="240"/>
        <w:ind w:hanging="0" w:start="-720" w:end="-288"/>
        <w:rPr/>
      </w:pPr>
      <w:r>
        <w:rPr/>
        <w:t>Test Year 1999 General Rate Case – Phase 2</w:t>
      </w:r>
    </w:p>
    <w:p>
      <w:pPr>
        <w:pStyle w:val="Heading4"/>
        <w:shd w:fill="FFFFFF" w:val="clear"/>
        <w:spacing w:lineRule="auto" w:line="240"/>
        <w:ind w:hanging="0" w:start="-720" w:end="-288"/>
        <w:rPr/>
      </w:pPr>
      <w:r>
        <w:rPr/>
        <w:t>Pacific Gas and Electric Company, A.99-03-014</w:t>
      </w:r>
    </w:p>
    <w:p>
      <w:pPr>
        <w:pStyle w:val="Heading4"/>
        <w:spacing w:lineRule="auto" w:line="240"/>
        <w:ind w:hanging="0" w:start="0"/>
        <w:rPr/>
      </w:pPr>
      <w:r>
        <w:rPr/>
      </w:r>
    </w:p>
    <w:p>
      <w:pPr>
        <w:pStyle w:val="Heading4"/>
        <w:spacing w:lineRule="auto" w:line="240"/>
        <w:ind w:hanging="0" w:start="0"/>
        <w:rPr/>
      </w:pPr>
      <w:r>
        <w:rPr/>
        <w:t>TABLE OF CONTENTS – (continued)</w:t>
      </w:r>
    </w:p>
    <w:p>
      <w:pPr>
        <w:pStyle w:val="Normal"/>
        <w:rPr/>
      </w:pPr>
      <w:r>
        <w:rPr/>
      </w:r>
    </w:p>
    <w:p>
      <w:pPr>
        <w:pStyle w:val="Normal"/>
        <w:widowControl w:val="false"/>
        <w:ind w:start="-720" w:end="-648"/>
        <w:rPr/>
      </w:pPr>
      <w:r>
        <w:rPr>
          <w:b/>
          <w:u w:val="single"/>
        </w:rPr>
        <w:t>Chapter and Section Nos.</w:t>
      </w:r>
      <w:r>
        <w:rPr>
          <w:b/>
        </w:rPr>
        <w:tab/>
        <w:tab/>
        <w:tab/>
      </w:r>
      <w:r>
        <w:rPr>
          <w:b/>
          <w:u w:val="single"/>
        </w:rPr>
        <w:t>Title</w:t>
      </w:r>
      <w:r>
        <w:rPr>
          <w:b/>
        </w:rPr>
        <w:tab/>
        <w:tab/>
        <w:tab/>
        <w:tab/>
        <w:tab/>
      </w:r>
      <w:r>
        <w:rPr>
          <w:b/>
          <w:u w:val="single"/>
        </w:rPr>
        <w:t>Witness</w:t>
      </w:r>
      <w:r>
        <w:rPr>
          <w:b/>
        </w:rPr>
        <w:tab/>
      </w:r>
      <w:r>
        <w:rPr>
          <w:b/>
          <w:u w:val="single"/>
        </w:rPr>
        <w:t>Page No.</w:t>
      </w:r>
    </w:p>
    <w:p>
      <w:pPr>
        <w:pStyle w:val="Normal"/>
        <w:widowControl w:val="false"/>
        <w:ind w:start="-720" w:end="-648"/>
        <w:rPr>
          <w:b/>
          <w:u w:val="single"/>
        </w:rPr>
      </w:pPr>
      <w:r>
        <w:rPr>
          <w:b/>
          <w:u w:val="single"/>
        </w:rPr>
      </w:r>
    </w:p>
    <w:p>
      <w:pPr>
        <w:pStyle w:val="Heading5"/>
        <w:tabs>
          <w:tab w:val="clear" w:pos="720"/>
          <w:tab w:val="clear" w:pos="1440"/>
          <w:tab w:val="clear" w:pos="8460"/>
        </w:tabs>
        <w:spacing w:before="0" w:after="0"/>
        <w:ind w:hanging="0" w:start="-360" w:end="-648"/>
        <w:rPr/>
      </w:pPr>
      <w:r>
        <w:rPr/>
        <w:t>4</w:t>
        <w:tab/>
        <w:t>REVENUE ALLOCATION - Continued</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4.4.2</w:t>
        <w:tab/>
        <w:t>Demand-Related Distribution Marginal Cost Revenue</w:t>
        <w:tab/>
      </w:r>
      <w:r>
        <w:rPr>
          <w:b/>
        </w:rPr>
        <w:t>Scarlett C. Liang-Uejio</w:t>
      </w:r>
      <w:r>
        <w:rPr/>
        <w:tab/>
        <w:t>4-9</w:t>
      </w:r>
    </w:p>
    <w:p>
      <w:pPr>
        <w:pStyle w:val="Normal"/>
        <w:widowControl w:val="false"/>
        <w:tabs>
          <w:tab w:val="clear" w:pos="720"/>
          <w:tab w:val="left" w:pos="900" w:leader="none"/>
          <w:tab w:val="left" w:pos="6480" w:leader="none"/>
          <w:tab w:val="left" w:pos="8910" w:leader="none"/>
        </w:tabs>
        <w:spacing w:lineRule="auto" w:line="312"/>
        <w:ind w:end="-648"/>
        <w:rPr/>
      </w:pPr>
      <w:r>
        <w:rPr/>
        <w:t>4.5</w:t>
        <w:tab/>
        <w:t>Distribution Revenue Allocation</w:t>
        <w:tab/>
        <w:tab/>
        <w:t>4-10</w:t>
      </w:r>
    </w:p>
    <w:p>
      <w:pPr>
        <w:pStyle w:val="Normal"/>
        <w:widowControl w:val="false"/>
        <w:tabs>
          <w:tab w:val="clear" w:pos="720"/>
          <w:tab w:val="left" w:pos="900" w:leader="none"/>
          <w:tab w:val="left" w:pos="6480" w:leader="none"/>
          <w:tab w:val="left" w:pos="8910" w:leader="none"/>
        </w:tabs>
        <w:spacing w:lineRule="auto" w:line="312"/>
        <w:ind w:end="-648"/>
        <w:rPr/>
      </w:pPr>
      <w:r>
        <w:rPr/>
        <w:t>4.5.1</w:t>
        <w:tab/>
        <w:t xml:space="preserve">Non-Allocated Distribution Revenues </w:t>
        <w:tab/>
        <w:tab/>
        <w:t>4-12</w:t>
      </w:r>
    </w:p>
    <w:p>
      <w:pPr>
        <w:pStyle w:val="Normal"/>
        <w:widowControl w:val="false"/>
        <w:tabs>
          <w:tab w:val="clear" w:pos="720"/>
          <w:tab w:val="left" w:pos="900" w:leader="none"/>
          <w:tab w:val="left" w:pos="6480" w:leader="none"/>
          <w:tab w:val="left" w:pos="8910" w:leader="none"/>
        </w:tabs>
        <w:spacing w:lineRule="auto" w:line="312"/>
        <w:ind w:end="-648"/>
        <w:rPr/>
      </w:pPr>
      <w:r>
        <w:rPr/>
        <w:t>4.5.2</w:t>
        <w:tab/>
        <w:t>Standby Allocation</w:t>
        <w:tab/>
        <w:tab/>
        <w:t>4-12</w:t>
      </w:r>
    </w:p>
    <w:p>
      <w:pPr>
        <w:pStyle w:val="Normal"/>
        <w:widowControl w:val="false"/>
        <w:tabs>
          <w:tab w:val="clear" w:pos="720"/>
          <w:tab w:val="left" w:pos="900" w:leader="none"/>
          <w:tab w:val="left" w:pos="6480" w:leader="none"/>
          <w:tab w:val="left" w:pos="8910" w:leader="none"/>
        </w:tabs>
        <w:spacing w:lineRule="auto" w:line="312"/>
        <w:ind w:end="-648"/>
        <w:rPr/>
      </w:pPr>
      <w:r>
        <w:rPr/>
        <w:t>4.6</w:t>
        <w:tab/>
        <w:t xml:space="preserve">CTC, PPP, and ND Allocation </w:t>
        <w:tab/>
        <w:tab/>
        <w:t>4-12</w:t>
      </w:r>
    </w:p>
    <w:p>
      <w:pPr>
        <w:pStyle w:val="Normal"/>
        <w:widowControl w:val="false"/>
        <w:tabs>
          <w:tab w:val="clear" w:pos="720"/>
          <w:tab w:val="left" w:pos="900" w:leader="none"/>
          <w:tab w:val="left" w:pos="6480" w:leader="none"/>
          <w:tab w:val="left" w:pos="8910" w:leader="none"/>
        </w:tabs>
        <w:spacing w:lineRule="auto" w:line="312"/>
        <w:ind w:end="-648"/>
        <w:rPr/>
      </w:pPr>
      <w:r>
        <w:rPr/>
        <w:t>4.6.1</w:t>
        <w:tab/>
        <w:t>Allocation of CTC</w:t>
        <w:tab/>
        <w:tab/>
        <w:t>4-12</w:t>
      </w:r>
    </w:p>
    <w:p>
      <w:pPr>
        <w:pStyle w:val="Normal"/>
        <w:widowControl w:val="false"/>
        <w:tabs>
          <w:tab w:val="clear" w:pos="720"/>
          <w:tab w:val="left" w:pos="900" w:leader="none"/>
          <w:tab w:val="left" w:pos="6480" w:leader="none"/>
          <w:tab w:val="left" w:pos="8910" w:leader="none"/>
        </w:tabs>
        <w:spacing w:lineRule="auto" w:line="312"/>
        <w:ind w:end="-648"/>
        <w:rPr/>
      </w:pPr>
      <w:r>
        <w:rPr/>
        <w:t>4.6.2</w:t>
        <w:tab/>
        <w:t>PPP and ND Allocation</w:t>
        <w:tab/>
        <w:tab/>
        <w:t>4-13</w:t>
      </w:r>
    </w:p>
    <w:p>
      <w:pPr>
        <w:pStyle w:val="Normal"/>
        <w:widowControl w:val="false"/>
        <w:tabs>
          <w:tab w:val="clear" w:pos="720"/>
          <w:tab w:val="left" w:pos="900" w:leader="none"/>
          <w:tab w:val="left" w:pos="6480" w:leader="none"/>
          <w:tab w:val="left" w:pos="8910" w:leader="none"/>
        </w:tabs>
        <w:spacing w:lineRule="auto" w:line="312"/>
        <w:ind w:end="-648"/>
        <w:rPr/>
      </w:pPr>
      <w:r>
        <w:rPr/>
        <w:t>4.6.3</w:t>
        <w:tab/>
        <w:t>Non-Firm Discount Allocation</w:t>
        <w:tab/>
        <w:tab/>
        <w:t>4-14</w:t>
      </w:r>
    </w:p>
    <w:p>
      <w:pPr>
        <w:pStyle w:val="Normal"/>
        <w:widowControl w:val="false"/>
        <w:tabs>
          <w:tab w:val="clear" w:pos="720"/>
          <w:tab w:val="left" w:pos="900" w:leader="none"/>
          <w:tab w:val="left" w:pos="6480" w:leader="none"/>
          <w:tab w:val="left" w:pos="8910" w:leader="none"/>
        </w:tabs>
        <w:spacing w:lineRule="auto" w:line="312"/>
        <w:ind w:end="-648"/>
        <w:rPr/>
      </w:pPr>
      <w:r>
        <w:rPr/>
        <w:t>4.7</w:t>
        <w:tab/>
        <w:t>Fixed Transition Amount and Rate Reduction Bond</w:t>
      </w:r>
    </w:p>
    <w:p>
      <w:pPr>
        <w:pStyle w:val="Normal"/>
        <w:widowControl w:val="false"/>
        <w:tabs>
          <w:tab w:val="clear" w:pos="720"/>
          <w:tab w:val="left" w:pos="900" w:leader="none"/>
          <w:tab w:val="left" w:pos="6480" w:leader="none"/>
          <w:tab w:val="left" w:pos="8910" w:leader="none"/>
        </w:tabs>
        <w:spacing w:lineRule="auto" w:line="312"/>
        <w:ind w:end="-648"/>
        <w:rPr/>
      </w:pPr>
      <w:r>
        <w:rPr/>
        <w:tab/>
        <w:t>Memorandum Account Revenue Allocation</w:t>
        <w:tab/>
        <w:tab/>
        <w:t>4-14</w:t>
      </w:r>
    </w:p>
    <w:p>
      <w:pPr>
        <w:pStyle w:val="Normal"/>
        <w:widowControl w:val="false"/>
        <w:tabs>
          <w:tab w:val="clear" w:pos="720"/>
          <w:tab w:val="left" w:pos="900" w:leader="none"/>
          <w:tab w:val="left" w:pos="6480" w:leader="none"/>
          <w:tab w:val="left" w:pos="8910" w:leader="none"/>
        </w:tabs>
        <w:spacing w:lineRule="auto" w:line="312"/>
        <w:ind w:end="-648"/>
        <w:rPr/>
      </w:pPr>
      <w:r>
        <w:rPr/>
        <w:t>4.8</w:t>
        <w:tab/>
        <w:t>Restructuring Implementation Cost Allocation</w:t>
        <w:tab/>
        <w:tab/>
        <w:t>4-14</w:t>
      </w:r>
    </w:p>
    <w:p>
      <w:pPr>
        <w:pStyle w:val="Normal"/>
        <w:widowControl w:val="false"/>
        <w:tabs>
          <w:tab w:val="clear" w:pos="720"/>
          <w:tab w:val="left" w:pos="900" w:leader="none"/>
          <w:tab w:val="left" w:pos="6480" w:leader="none"/>
          <w:tab w:val="left" w:pos="8910" w:leader="none"/>
        </w:tabs>
        <w:spacing w:lineRule="auto" w:line="312"/>
        <w:ind w:end="-648"/>
        <w:rPr/>
      </w:pPr>
      <w:r>
        <w:rPr/>
        <w:t>4.9</w:t>
        <w:tab/>
        <w:t>Transmission and Reliability Must-Run Revenue Allocation</w:t>
        <w:tab/>
        <w:t>4-15</w:t>
      </w:r>
    </w:p>
    <w:p>
      <w:pPr>
        <w:pStyle w:val="Normal"/>
        <w:widowControl w:val="false"/>
        <w:tabs>
          <w:tab w:val="clear" w:pos="720"/>
          <w:tab w:val="left" w:pos="900" w:leader="none"/>
          <w:tab w:val="left" w:pos="6480" w:leader="none"/>
          <w:tab w:val="left" w:pos="8910" w:leader="none"/>
        </w:tabs>
        <w:spacing w:lineRule="auto" w:line="312"/>
        <w:ind w:end="-648"/>
        <w:rPr/>
      </w:pPr>
      <w:r>
        <w:rPr/>
        <w:t>4.10</w:t>
        <w:tab/>
        <w:t>Recommendation</w:t>
        <w:tab/>
        <w:tab/>
        <w:t>4-15</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Heading8"/>
        <w:tabs>
          <w:tab w:val="clear" w:pos="1440"/>
          <w:tab w:val="clear" w:pos="8460"/>
        </w:tabs>
        <w:spacing w:before="0" w:after="0"/>
        <w:ind w:hanging="360" w:start="0" w:end="-648"/>
        <w:rPr/>
      </w:pPr>
      <w:r>
        <w:rPr/>
        <w:t>5</w:t>
        <w:tab/>
        <w:t>RESIDENTIAL RATE DESIGN</w:t>
        <w:tab/>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5.1</w:t>
        <w:tab/>
        <w:t>Introduction and Overview</w:t>
        <w:tab/>
      </w:r>
      <w:r>
        <w:rPr>
          <w:b/>
        </w:rPr>
        <w:t>Troid O. Edwards</w:t>
      </w:r>
      <w:r>
        <w:rPr/>
        <w:tab/>
        <w:t>5-1</w:t>
      </w:r>
    </w:p>
    <w:p>
      <w:pPr>
        <w:pStyle w:val="Normal"/>
        <w:widowControl w:val="false"/>
        <w:tabs>
          <w:tab w:val="clear" w:pos="720"/>
          <w:tab w:val="left" w:pos="900" w:leader="none"/>
          <w:tab w:val="left" w:pos="6480" w:leader="none"/>
          <w:tab w:val="left" w:pos="8910" w:leader="none"/>
        </w:tabs>
        <w:spacing w:lineRule="auto" w:line="312"/>
        <w:ind w:end="-648"/>
        <w:rPr/>
      </w:pPr>
      <w:r>
        <w:rPr/>
        <w:t>5.1.1</w:t>
        <w:tab/>
        <w:t>Schedule E-1 Rate Design and Rate Consolidation</w:t>
        <w:tab/>
        <w:tab/>
        <w:t>5-1</w:t>
      </w:r>
    </w:p>
    <w:p>
      <w:pPr>
        <w:pStyle w:val="Normal"/>
        <w:widowControl w:val="false"/>
        <w:tabs>
          <w:tab w:val="clear" w:pos="720"/>
          <w:tab w:val="left" w:pos="900" w:leader="none"/>
          <w:tab w:val="left" w:pos="6480" w:leader="none"/>
          <w:tab w:val="left" w:pos="8910" w:leader="none"/>
        </w:tabs>
        <w:spacing w:lineRule="auto" w:line="312"/>
        <w:ind w:end="-648"/>
        <w:rPr/>
      </w:pPr>
      <w:r>
        <w:rPr/>
        <w:t>5.2</w:t>
        <w:tab/>
        <w:t>Time-Of-Use Rate Design</w:t>
        <w:tab/>
        <w:tab/>
        <w:t>5-2</w:t>
      </w:r>
    </w:p>
    <w:p>
      <w:pPr>
        <w:pStyle w:val="Normal"/>
        <w:widowControl w:val="false"/>
        <w:tabs>
          <w:tab w:val="clear" w:pos="720"/>
          <w:tab w:val="left" w:pos="900" w:leader="none"/>
          <w:tab w:val="left" w:pos="6480" w:leader="none"/>
          <w:tab w:val="left" w:pos="8910" w:leader="none"/>
        </w:tabs>
        <w:spacing w:lineRule="auto" w:line="312"/>
        <w:ind w:end="-648"/>
        <w:rPr/>
      </w:pPr>
      <w:r>
        <w:rPr/>
        <w:t>5.3</w:t>
        <w:tab/>
        <w:t>Seasonal Rate Design</w:t>
        <w:tab/>
        <w:tab/>
        <w:t>5-2</w:t>
      </w:r>
    </w:p>
    <w:p>
      <w:pPr>
        <w:pStyle w:val="Normal"/>
        <w:widowControl w:val="false"/>
        <w:tabs>
          <w:tab w:val="clear" w:pos="720"/>
          <w:tab w:val="left" w:pos="900" w:leader="none"/>
          <w:tab w:val="left" w:pos="6480" w:leader="none"/>
          <w:tab w:val="left" w:pos="8910" w:leader="none"/>
        </w:tabs>
        <w:spacing w:lineRule="auto" w:line="312"/>
        <w:ind w:end="-648"/>
        <w:rPr/>
      </w:pPr>
      <w:r>
        <w:rPr/>
        <w:t>5.4</w:t>
        <w:tab/>
        <w:t>Low Emission Vehicle Rate Design</w:t>
        <w:tab/>
        <w:tab/>
        <w:t>5-3</w:t>
      </w:r>
    </w:p>
    <w:p>
      <w:pPr>
        <w:pStyle w:val="Normal"/>
        <w:widowControl w:val="false"/>
        <w:tabs>
          <w:tab w:val="clear" w:pos="720"/>
          <w:tab w:val="left" w:pos="900" w:leader="none"/>
          <w:tab w:val="left" w:pos="6480" w:leader="none"/>
          <w:tab w:val="left" w:pos="8910" w:leader="none"/>
        </w:tabs>
        <w:spacing w:lineRule="auto" w:line="312"/>
        <w:ind w:end="-648"/>
        <w:rPr/>
      </w:pPr>
      <w:r>
        <w:rPr/>
        <w:t>5.5</w:t>
        <w:tab/>
        <w:t xml:space="preserve">General Comments on “Basis Charges” and Tier Rates - </w:t>
      </w:r>
      <w:r>
        <w:rPr>
          <w:b/>
        </w:rPr>
        <w:t>Donald R. Smith</w:t>
      </w:r>
      <w:r>
        <w:rPr/>
        <w:tab/>
        <w:t>5-3</w:t>
      </w:r>
    </w:p>
    <w:p>
      <w:pPr>
        <w:pStyle w:val="Normal"/>
        <w:widowControl w:val="false"/>
        <w:tabs>
          <w:tab w:val="clear" w:pos="720"/>
          <w:tab w:val="left" w:pos="900" w:leader="none"/>
          <w:tab w:val="left" w:pos="6480" w:leader="none"/>
          <w:tab w:val="left" w:pos="8910" w:leader="none"/>
        </w:tabs>
        <w:spacing w:lineRule="auto" w:line="312"/>
        <w:ind w:end="-648"/>
        <w:rPr/>
      </w:pPr>
      <w:r>
        <w:rPr/>
        <w:t>5.6</w:t>
        <w:tab/>
        <w:t>Figure 1. Residential Customer kWh Use Distribution</w:t>
        <w:tab/>
        <w:tab/>
        <w:t>5-3</w:t>
      </w:r>
    </w:p>
    <w:p>
      <w:pPr>
        <w:pStyle w:val="Normal"/>
        <w:widowControl w:val="false"/>
        <w:tabs>
          <w:tab w:val="clear" w:pos="720"/>
          <w:tab w:val="left" w:pos="900" w:leader="none"/>
          <w:tab w:val="left" w:pos="6480" w:leader="none"/>
          <w:tab w:val="left" w:pos="8910" w:leader="none"/>
        </w:tabs>
        <w:spacing w:lineRule="auto" w:line="312"/>
        <w:ind w:end="-648"/>
        <w:rPr/>
      </w:pPr>
      <w:r>
        <w:rPr/>
        <w:t>5.7</w:t>
        <w:tab/>
        <w:t>General Tier Pricing</w:t>
        <w:tab/>
        <w:tab/>
        <w:t>5-4</w:t>
      </w:r>
    </w:p>
    <w:p>
      <w:pPr>
        <w:pStyle w:val="Normal"/>
        <w:widowControl w:val="false"/>
        <w:tabs>
          <w:tab w:val="clear" w:pos="720"/>
          <w:tab w:val="left" w:pos="900" w:leader="none"/>
          <w:tab w:val="left" w:pos="6480" w:leader="none"/>
          <w:tab w:val="left" w:pos="8910" w:leader="none"/>
        </w:tabs>
        <w:spacing w:lineRule="auto" w:line="312"/>
        <w:ind w:end="-648"/>
        <w:rPr/>
      </w:pPr>
      <w:r>
        <w:rPr/>
        <w:t>5.8</w:t>
        <w:tab/>
        <w:t>ORA Supports an Increased in Tier Differential to 25 percent –</w:t>
        <w:tab/>
        <w:t>5-5</w:t>
      </w:r>
    </w:p>
    <w:p>
      <w:pPr>
        <w:pStyle w:val="Heading4"/>
        <w:shd w:fill="FFFFFF" w:val="clear"/>
        <w:spacing w:lineRule="auto" w:line="240"/>
        <w:ind w:hanging="0" w:start="-720" w:end="-288"/>
        <w:rPr/>
      </w:pPr>
      <w:r>
        <w:rPr/>
        <w:t>OFFICE OF RATEPAYER ADVOCATES</w:t>
      </w:r>
    </w:p>
    <w:p>
      <w:pPr>
        <w:pStyle w:val="Heading4"/>
        <w:shd w:fill="FFFFFF" w:val="clear"/>
        <w:spacing w:lineRule="auto" w:line="240"/>
        <w:ind w:hanging="0" w:start="-720" w:end="-288"/>
        <w:rPr/>
      </w:pPr>
      <w:r>
        <w:rPr/>
        <w:t>Test Year 1999 General Rate Case – Phase 2</w:t>
      </w:r>
    </w:p>
    <w:p>
      <w:pPr>
        <w:pStyle w:val="Heading4"/>
        <w:shd w:fill="FFFFFF" w:val="clear"/>
        <w:spacing w:lineRule="auto" w:line="240"/>
        <w:ind w:hanging="0" w:start="-720" w:end="-288"/>
        <w:rPr/>
      </w:pPr>
      <w:r>
        <w:rPr/>
        <w:t>Pacific Gas and Electric Company, A.99-03-014</w:t>
      </w:r>
    </w:p>
    <w:p>
      <w:pPr>
        <w:pStyle w:val="Heading4"/>
        <w:spacing w:lineRule="auto" w:line="240"/>
        <w:ind w:hanging="0" w:start="-360" w:end="0"/>
        <w:rPr/>
      </w:pPr>
      <w:r>
        <w:rPr/>
      </w:r>
    </w:p>
    <w:p>
      <w:pPr>
        <w:pStyle w:val="Heading4"/>
        <w:spacing w:lineRule="auto" w:line="240"/>
        <w:ind w:hanging="0" w:start="-360" w:end="0"/>
        <w:rPr/>
      </w:pPr>
      <w:r>
        <w:rPr/>
        <w:t>TABLE OF CONTENTS – (continued)</w:t>
      </w:r>
    </w:p>
    <w:p>
      <w:pPr>
        <w:pStyle w:val="Normal"/>
        <w:rPr/>
      </w:pPr>
      <w:r>
        <w:rPr/>
      </w:r>
    </w:p>
    <w:p>
      <w:pPr>
        <w:pStyle w:val="Normal"/>
        <w:widowControl w:val="false"/>
        <w:ind w:start="-360" w:end="-648"/>
        <w:rPr/>
      </w:pPr>
      <w:r>
        <w:rPr>
          <w:b/>
          <w:u w:val="single"/>
        </w:rPr>
        <w:t>Chapter and Section Nos.</w:t>
      </w:r>
      <w:r>
        <w:rPr>
          <w:b/>
        </w:rPr>
        <w:tab/>
        <w:tab/>
        <w:tab/>
      </w:r>
      <w:r>
        <w:rPr>
          <w:b/>
          <w:u w:val="single"/>
        </w:rPr>
        <w:t>Title</w:t>
      </w:r>
      <w:r>
        <w:rPr>
          <w:b/>
        </w:rPr>
        <w:tab/>
        <w:tab/>
        <w:tab/>
        <w:tab/>
      </w:r>
      <w:r>
        <w:rPr>
          <w:b/>
          <w:u w:val="single"/>
        </w:rPr>
        <w:t>Witness</w:t>
      </w:r>
      <w:r>
        <w:rPr>
          <w:b/>
        </w:rPr>
        <w:tab/>
      </w:r>
      <w:r>
        <w:rPr>
          <w:b/>
          <w:u w:val="single"/>
        </w:rPr>
        <w:t>Page No</w:t>
      </w:r>
    </w:p>
    <w:p>
      <w:pPr>
        <w:pStyle w:val="Normal"/>
        <w:widowControl w:val="false"/>
        <w:tabs>
          <w:tab w:val="clear" w:pos="720"/>
          <w:tab w:val="left" w:pos="900" w:leader="none"/>
          <w:tab w:val="left" w:pos="6480" w:leader="none"/>
          <w:tab w:val="left" w:pos="8910" w:leader="none"/>
        </w:tabs>
        <w:spacing w:lineRule="auto" w:line="312"/>
        <w:ind w:end="-648"/>
        <w:rPr>
          <w:b/>
          <w:u w:val="single"/>
        </w:rPr>
      </w:pPr>
      <w:r>
        <w:rPr>
          <w:b/>
          <w:u w:val="single"/>
        </w:rPr>
      </w:r>
    </w:p>
    <w:p>
      <w:pPr>
        <w:pStyle w:val="Heading8"/>
        <w:tabs>
          <w:tab w:val="clear" w:pos="1440"/>
          <w:tab w:val="clear" w:pos="8460"/>
        </w:tabs>
        <w:spacing w:before="0" w:after="0"/>
        <w:ind w:hanging="360" w:start="0" w:end="-648"/>
        <w:rPr/>
      </w:pPr>
      <w:r>
        <w:rPr/>
        <w:t>5</w:t>
        <w:tab/>
        <w:t>RESIDENTIAL RATE DESIGN - Continued</w:t>
        <w:tab/>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numPr>
          <w:ilvl w:val="1"/>
          <w:numId w:val="31"/>
        </w:numPr>
        <w:tabs>
          <w:tab w:val="clear" w:pos="720"/>
          <w:tab w:val="left" w:pos="6480" w:leader="none"/>
          <w:tab w:val="left" w:pos="8910" w:leader="none"/>
        </w:tabs>
        <w:spacing w:lineRule="auto" w:line="312"/>
        <w:ind w:hanging="900" w:start="900" w:end="-648"/>
        <w:rPr/>
      </w:pPr>
      <w:r>
        <w:rPr/>
        <w:t xml:space="preserve">ORA Opposes PG&amp;E’s Proposed Mandatory </w:t>
      </w:r>
    </w:p>
    <w:p>
      <w:pPr>
        <w:pStyle w:val="Normal"/>
        <w:widowControl w:val="false"/>
        <w:tabs>
          <w:tab w:val="clear" w:pos="720"/>
          <w:tab w:val="left" w:pos="900" w:leader="none"/>
          <w:tab w:val="left" w:pos="6480" w:leader="none"/>
          <w:tab w:val="left" w:pos="8910" w:leader="none"/>
        </w:tabs>
        <w:spacing w:lineRule="auto" w:line="312"/>
        <w:ind w:end="-648"/>
        <w:rPr/>
      </w:pPr>
      <w:r>
        <w:rPr/>
        <w:tab/>
        <w:t>“BASIC CHARGE”</w:t>
      </w:r>
      <w:r>
        <w:rPr>
          <w:b/>
        </w:rPr>
        <w:t xml:space="preserve"> </w:t>
        <w:tab/>
        <w:t>Donald R. Smith</w:t>
        <w:tab/>
      </w:r>
      <w:r>
        <w:rPr/>
        <w:t>5-6</w:t>
      </w:r>
    </w:p>
    <w:p>
      <w:pPr>
        <w:pStyle w:val="Normal"/>
        <w:widowControl w:val="false"/>
        <w:tabs>
          <w:tab w:val="clear" w:pos="720"/>
          <w:tab w:val="left" w:pos="900" w:leader="none"/>
          <w:tab w:val="left" w:pos="6480" w:leader="none"/>
          <w:tab w:val="left" w:pos="8910" w:leader="none"/>
        </w:tabs>
        <w:spacing w:lineRule="auto" w:line="312"/>
        <w:ind w:end="-648"/>
        <w:rPr/>
      </w:pPr>
      <w:r>
        <w:rPr/>
        <w:t>5.10</w:t>
        <w:tab/>
        <w:t>The Basic Charge Would Not be Equitable</w:t>
        <w:tab/>
        <w:tab/>
        <w:t>5-6</w:t>
      </w:r>
    </w:p>
    <w:p>
      <w:pPr>
        <w:pStyle w:val="Normal"/>
        <w:widowControl w:val="false"/>
        <w:tabs>
          <w:tab w:val="clear" w:pos="720"/>
          <w:tab w:val="left" w:pos="900" w:leader="none"/>
          <w:tab w:val="left" w:pos="6480" w:leader="none"/>
          <w:tab w:val="left" w:pos="8910" w:leader="none"/>
        </w:tabs>
        <w:spacing w:lineRule="auto" w:line="312"/>
        <w:ind w:end="-648"/>
        <w:rPr/>
      </w:pPr>
      <w:r>
        <w:rPr/>
        <w:t>5.11</w:t>
        <w:tab/>
        <w:t>The Basic Charge Would Discourage Energy Efficiency</w:t>
        <w:tab/>
        <w:tab/>
        <w:t>5-6</w:t>
      </w:r>
    </w:p>
    <w:p>
      <w:pPr>
        <w:pStyle w:val="Normal"/>
        <w:widowControl w:val="false"/>
        <w:tabs>
          <w:tab w:val="clear" w:pos="720"/>
          <w:tab w:val="left" w:pos="900" w:leader="none"/>
          <w:tab w:val="left" w:pos="6480" w:leader="none"/>
          <w:tab w:val="left" w:pos="8910" w:leader="none"/>
        </w:tabs>
        <w:spacing w:lineRule="auto" w:line="312"/>
        <w:ind w:end="-648"/>
        <w:rPr/>
      </w:pPr>
      <w:r>
        <w:rPr/>
        <w:t>5.12</w:t>
        <w:tab/>
        <w:t>The Basic Charge Increases the Bills of 65 percent of Residential Customers</w:t>
        <w:tab/>
        <w:t>5-6</w:t>
      </w:r>
    </w:p>
    <w:p>
      <w:pPr>
        <w:pStyle w:val="Normal"/>
        <w:widowControl w:val="false"/>
        <w:numPr>
          <w:ilvl w:val="1"/>
          <w:numId w:val="20"/>
        </w:numPr>
        <w:tabs>
          <w:tab w:val="clear" w:pos="720"/>
          <w:tab w:val="left" w:pos="6480" w:leader="none"/>
          <w:tab w:val="left" w:pos="8910" w:leader="none"/>
        </w:tabs>
        <w:spacing w:lineRule="auto" w:line="312"/>
        <w:ind w:hanging="900" w:start="900" w:end="-648"/>
        <w:rPr/>
      </w:pPr>
      <w:r>
        <w:rPr/>
        <w:t>ORA Argues That if the Basic Charge is Instituted It Should be</w:t>
      </w:r>
    </w:p>
    <w:p>
      <w:pPr>
        <w:pStyle w:val="Normal"/>
        <w:widowControl w:val="false"/>
        <w:tabs>
          <w:tab w:val="clear" w:pos="720"/>
          <w:tab w:val="left" w:pos="900" w:leader="none"/>
          <w:tab w:val="left" w:pos="6480" w:leader="none"/>
          <w:tab w:val="left" w:pos="8910" w:leader="none"/>
        </w:tabs>
        <w:spacing w:lineRule="auto" w:line="312"/>
        <w:ind w:end="-648"/>
        <w:rPr/>
      </w:pPr>
      <w:r>
        <w:rPr/>
        <w:tab/>
        <w:t>Only With Certain Modifications</w:t>
        <w:tab/>
        <w:tab/>
        <w:t>5-7</w:t>
      </w:r>
    </w:p>
    <w:p>
      <w:pPr>
        <w:pStyle w:val="Normal"/>
        <w:widowControl w:val="false"/>
        <w:tabs>
          <w:tab w:val="clear" w:pos="720"/>
          <w:tab w:val="left" w:pos="900" w:leader="none"/>
          <w:tab w:val="left" w:pos="6480" w:leader="none"/>
          <w:tab w:val="left" w:pos="8910" w:leader="none"/>
        </w:tabs>
        <w:spacing w:lineRule="auto" w:line="312"/>
        <w:ind w:end="-648"/>
        <w:rPr/>
      </w:pPr>
      <w:r>
        <w:rPr/>
        <w:t>5.14</w:t>
        <w:tab/>
        <w:t>Implications of a Residential “Basic” or “Customer” Charge</w:t>
        <w:tab/>
        <w:t>5-8</w:t>
      </w:r>
    </w:p>
    <w:p>
      <w:pPr>
        <w:pStyle w:val="Normal"/>
        <w:widowControl w:val="false"/>
        <w:tabs>
          <w:tab w:val="clear" w:pos="720"/>
          <w:tab w:val="left" w:pos="900" w:leader="none"/>
          <w:tab w:val="left" w:pos="6480" w:leader="none"/>
          <w:tab w:val="left" w:pos="8910" w:leader="none"/>
        </w:tabs>
        <w:spacing w:lineRule="auto" w:line="312"/>
        <w:ind w:end="-648"/>
        <w:rPr/>
      </w:pPr>
      <w:r>
        <w:rPr/>
        <w:t>5.15</w:t>
        <w:tab/>
        <w:t>Problems With a Residential “Basic Charge” and Possible Solutions</w:t>
        <w:tab/>
        <w:t>5-9</w:t>
      </w:r>
    </w:p>
    <w:p>
      <w:pPr>
        <w:pStyle w:val="Normal"/>
        <w:widowControl w:val="false"/>
        <w:tabs>
          <w:tab w:val="clear" w:pos="720"/>
          <w:tab w:val="left" w:pos="900" w:leader="none"/>
          <w:tab w:val="left" w:pos="6480" w:leader="none"/>
          <w:tab w:val="left" w:pos="8910" w:leader="none"/>
        </w:tabs>
        <w:spacing w:lineRule="auto" w:line="312"/>
        <w:ind w:end="-648"/>
        <w:rPr/>
      </w:pPr>
      <w:r>
        <w:rPr/>
        <w:t>5.15.1</w:t>
        <w:tab/>
        <w:t>Customer Charges and Equity</w:t>
        <w:tab/>
        <w:tab/>
        <w:t>5-9</w:t>
      </w:r>
    </w:p>
    <w:p>
      <w:pPr>
        <w:pStyle w:val="Normal"/>
        <w:widowControl w:val="false"/>
        <w:tabs>
          <w:tab w:val="clear" w:pos="720"/>
          <w:tab w:val="left" w:pos="900" w:leader="none"/>
          <w:tab w:val="left" w:pos="6480" w:leader="none"/>
          <w:tab w:val="left" w:pos="8910" w:leader="none"/>
        </w:tabs>
        <w:spacing w:lineRule="auto" w:line="312"/>
        <w:ind w:end="-648"/>
        <w:rPr/>
      </w:pPr>
      <w:r>
        <w:rPr/>
        <w:t>5.15.2</w:t>
        <w:tab/>
        <w:t>The CARE Program (California Alternate Rates for Energy)</w:t>
        <w:tab/>
        <w:t>5-9</w:t>
      </w:r>
    </w:p>
    <w:p>
      <w:pPr>
        <w:pStyle w:val="Normal"/>
        <w:widowControl w:val="false"/>
        <w:tabs>
          <w:tab w:val="clear" w:pos="720"/>
          <w:tab w:val="left" w:pos="900" w:leader="none"/>
          <w:tab w:val="left" w:pos="6480" w:leader="none"/>
          <w:tab w:val="left" w:pos="8910" w:leader="none"/>
        </w:tabs>
        <w:spacing w:lineRule="auto" w:line="312"/>
        <w:ind w:end="-648"/>
        <w:rPr/>
      </w:pPr>
      <w:r>
        <w:rPr/>
        <w:t>5.15.3</w:t>
        <w:tab/>
        <w:t>Option: Give the Customer a Choice About Customer Charge</w:t>
        <w:tab/>
        <w:t>5-10</w:t>
      </w:r>
    </w:p>
    <w:p>
      <w:pPr>
        <w:pStyle w:val="Normal"/>
        <w:widowControl w:val="false"/>
        <w:tabs>
          <w:tab w:val="clear" w:pos="720"/>
          <w:tab w:val="left" w:pos="900" w:leader="none"/>
          <w:tab w:val="left" w:pos="6480" w:leader="none"/>
          <w:tab w:val="left" w:pos="8910" w:leader="none"/>
        </w:tabs>
        <w:spacing w:lineRule="auto" w:line="312"/>
        <w:ind w:end="-648"/>
        <w:rPr/>
      </w:pPr>
      <w:r>
        <w:rPr/>
        <w:t>5.15.4</w:t>
        <w:tab/>
        <w:t>Different Customer Rates for Single Family Residences vs. Apartments</w:t>
        <w:tab/>
        <w:t>5-11</w:t>
      </w:r>
    </w:p>
    <w:p>
      <w:pPr>
        <w:pStyle w:val="Normal"/>
        <w:widowControl w:val="false"/>
        <w:tabs>
          <w:tab w:val="clear" w:pos="720"/>
          <w:tab w:val="left" w:pos="900" w:leader="none"/>
          <w:tab w:val="left" w:pos="6480" w:leader="none"/>
          <w:tab w:val="left" w:pos="8910" w:leader="none"/>
        </w:tabs>
        <w:spacing w:lineRule="auto" w:line="312"/>
        <w:ind w:end="-648"/>
        <w:rPr/>
      </w:pPr>
      <w:r>
        <w:rPr/>
        <w:t>5.15.5</w:t>
        <w:tab/>
        <w:t>Customer Charge Based on Capacity</w:t>
        <w:tab/>
        <w:tab/>
        <w:t>5-11</w:t>
      </w:r>
    </w:p>
    <w:p>
      <w:pPr>
        <w:pStyle w:val="Normal"/>
        <w:widowControl w:val="false"/>
        <w:tabs>
          <w:tab w:val="clear" w:pos="720"/>
          <w:tab w:val="left" w:pos="900" w:leader="none"/>
          <w:tab w:val="left" w:pos="6480" w:leader="none"/>
          <w:tab w:val="left" w:pos="8910" w:leader="none"/>
        </w:tabs>
        <w:spacing w:lineRule="auto" w:line="312"/>
        <w:ind w:end="-648"/>
        <w:rPr/>
      </w:pPr>
      <w:r>
        <w:rPr/>
        <w:t>5.16</w:t>
        <w:tab/>
        <w:t>A Basic Charge Would Discourage Energy Conservation</w:t>
        <w:tab/>
        <w:tab/>
        <w:t>5-12</w:t>
      </w:r>
    </w:p>
    <w:p>
      <w:pPr>
        <w:pStyle w:val="Normal"/>
        <w:widowControl w:val="false"/>
        <w:tabs>
          <w:tab w:val="clear" w:pos="720"/>
          <w:tab w:val="left" w:pos="900" w:leader="none"/>
          <w:tab w:val="left" w:pos="6480" w:leader="none"/>
          <w:tab w:val="left" w:pos="8910" w:leader="none"/>
        </w:tabs>
        <w:spacing w:lineRule="auto" w:line="312"/>
        <w:ind w:end="-648"/>
        <w:rPr/>
      </w:pPr>
      <w:r>
        <w:rPr/>
        <w:t>5.17</w:t>
        <w:tab/>
        <w:t>If a Basic Charge is Instituted, the Tier Differential Should be Composite</w:t>
        <w:tab/>
        <w:t>5-13</w:t>
      </w:r>
    </w:p>
    <w:p>
      <w:pPr>
        <w:pStyle w:val="Normal"/>
        <w:widowControl w:val="false"/>
        <w:tabs>
          <w:tab w:val="clear" w:pos="720"/>
          <w:tab w:val="left" w:pos="900" w:leader="none"/>
          <w:tab w:val="left" w:pos="6480" w:leader="none"/>
          <w:tab w:val="left" w:pos="8910" w:leader="none"/>
        </w:tabs>
        <w:spacing w:lineRule="auto" w:line="312"/>
        <w:ind w:end="-648"/>
        <w:rPr/>
      </w:pPr>
      <w:r>
        <w:rPr/>
        <w:t>5.18</w:t>
        <w:tab/>
        <w:t>Recent Energy Prices and CARE</w:t>
        <w:tab/>
      </w:r>
      <w:r>
        <w:rPr>
          <w:b/>
        </w:rPr>
        <w:t>Troid O. Edwards</w:t>
      </w:r>
      <w:r>
        <w:rPr/>
        <w:tab/>
        <w:t>5-13</w:t>
      </w:r>
    </w:p>
    <w:p>
      <w:pPr>
        <w:pStyle w:val="Normal"/>
        <w:widowControl w:val="false"/>
        <w:tabs>
          <w:tab w:val="clear" w:pos="720"/>
          <w:tab w:val="left" w:pos="900" w:leader="none"/>
          <w:tab w:val="left" w:pos="6480" w:leader="none"/>
          <w:tab w:val="left" w:pos="8910" w:leader="none"/>
        </w:tabs>
        <w:spacing w:lineRule="auto" w:line="312"/>
        <w:ind w:end="-648"/>
        <w:rPr/>
      </w:pPr>
      <w:r>
        <w:rPr/>
        <w:t>5.19</w:t>
        <w:tab/>
        <w:t>Options for Rate Crisis</w:t>
        <w:tab/>
        <w:tab/>
        <w:t>5-14</w:t>
      </w:r>
    </w:p>
    <w:p>
      <w:pPr>
        <w:pStyle w:val="Normal"/>
        <w:widowControl w:val="false"/>
        <w:tabs>
          <w:tab w:val="clear" w:pos="720"/>
          <w:tab w:val="left" w:pos="900" w:leader="none"/>
          <w:tab w:val="left" w:pos="6480" w:leader="none"/>
          <w:tab w:val="left" w:pos="8910" w:leader="none"/>
        </w:tabs>
        <w:spacing w:lineRule="auto" w:line="312"/>
        <w:ind w:end="-648"/>
        <w:rPr/>
      </w:pPr>
      <w:r>
        <w:rPr/>
        <w:t>5.19.1</w:t>
        <w:tab/>
        <w:t>Increasing the CARE Discount</w:t>
        <w:tab/>
        <w:tab/>
        <w:t>5-15</w:t>
      </w:r>
    </w:p>
    <w:p>
      <w:pPr>
        <w:pStyle w:val="Normal"/>
        <w:widowControl w:val="false"/>
        <w:tabs>
          <w:tab w:val="clear" w:pos="720"/>
          <w:tab w:val="left" w:pos="900" w:leader="none"/>
          <w:tab w:val="left" w:pos="6480" w:leader="none"/>
          <w:tab w:val="left" w:pos="8910" w:leader="none"/>
        </w:tabs>
        <w:spacing w:lineRule="auto" w:line="312"/>
        <w:ind w:end="-648"/>
        <w:rPr/>
      </w:pPr>
      <w:r>
        <w:rPr/>
        <w:t>5.19.2</w:t>
        <w:tab/>
        <w:t>Increasing Baseline Quantities</w:t>
        <w:tab/>
        <w:tab/>
        <w:t>5-15</w:t>
      </w:r>
    </w:p>
    <w:p>
      <w:pPr>
        <w:pStyle w:val="Normal"/>
        <w:widowControl w:val="false"/>
        <w:tabs>
          <w:tab w:val="clear" w:pos="720"/>
          <w:tab w:val="left" w:pos="900" w:leader="none"/>
          <w:tab w:val="left" w:pos="6480" w:leader="none"/>
          <w:tab w:val="left" w:pos="8910" w:leader="none"/>
        </w:tabs>
        <w:spacing w:lineRule="auto" w:line="312"/>
        <w:ind w:end="-648"/>
        <w:rPr/>
      </w:pPr>
      <w:r>
        <w:rPr/>
        <w:t>5.19.3</w:t>
        <w:tab/>
        <w:t>capping the Tier PX Component of Rates</w:t>
        <w:tab/>
        <w:tab/>
        <w:t>5-16</w:t>
      </w:r>
    </w:p>
    <w:p>
      <w:pPr>
        <w:pStyle w:val="Normal"/>
        <w:widowControl w:val="false"/>
        <w:tabs>
          <w:tab w:val="clear" w:pos="720"/>
          <w:tab w:val="left" w:pos="900" w:leader="none"/>
          <w:tab w:val="left" w:pos="6480" w:leader="none"/>
          <w:tab w:val="left" w:pos="8910" w:leader="none"/>
        </w:tabs>
        <w:spacing w:lineRule="auto" w:line="312"/>
        <w:ind w:end="-648"/>
        <w:rPr/>
      </w:pPr>
      <w:r>
        <w:rPr/>
        <w:t>5.20</w:t>
        <w:tab/>
        <w:t>Recommendation</w:t>
        <w:tab/>
        <w:tab/>
        <w:t>5-16</w:t>
      </w:r>
      <w:r>
        <w:br w:type="page"/>
      </w:r>
    </w:p>
    <w:p>
      <w:pPr>
        <w:pStyle w:val="Heading4"/>
        <w:shd w:fill="FFFFFF" w:val="clear"/>
        <w:spacing w:lineRule="auto" w:line="240"/>
        <w:ind w:hanging="0" w:start="-720" w:end="-288"/>
        <w:rPr/>
      </w:pPr>
      <w:r>
        <w:rPr/>
        <w:t>OFFICE OF RATEPAYER ADVOCATES</w:t>
      </w:r>
    </w:p>
    <w:p>
      <w:pPr>
        <w:pStyle w:val="Heading4"/>
        <w:shd w:fill="FFFFFF" w:val="clear"/>
        <w:spacing w:lineRule="auto" w:line="240"/>
        <w:ind w:hanging="0" w:start="-720" w:end="-288"/>
        <w:rPr/>
      </w:pPr>
      <w:r>
        <w:rPr/>
        <w:t>Test Year 1999 General Rate Case – Phase 2</w:t>
      </w:r>
    </w:p>
    <w:p>
      <w:pPr>
        <w:pStyle w:val="Heading4"/>
        <w:shd w:fill="FFFFFF" w:val="clear"/>
        <w:spacing w:lineRule="auto" w:line="240"/>
        <w:ind w:hanging="0" w:start="-720" w:end="-288"/>
        <w:rPr/>
      </w:pPr>
      <w:r>
        <w:rPr/>
        <w:t>Pacific Gas and Electric Company, A.99-03-014</w:t>
      </w:r>
    </w:p>
    <w:p>
      <w:pPr>
        <w:pStyle w:val="Heading4"/>
        <w:spacing w:lineRule="auto" w:line="240"/>
        <w:ind w:hanging="0" w:start="0"/>
        <w:rPr/>
      </w:pPr>
      <w:r>
        <w:rPr/>
      </w:r>
    </w:p>
    <w:p>
      <w:pPr>
        <w:pStyle w:val="Heading4"/>
        <w:spacing w:lineRule="auto" w:line="240"/>
        <w:ind w:hanging="0" w:start="0"/>
        <w:rPr/>
      </w:pPr>
      <w:r>
        <w:rPr/>
        <w:t>TABLE OF CONTENTS – (continued)</w:t>
      </w:r>
    </w:p>
    <w:p>
      <w:pPr>
        <w:pStyle w:val="Normal"/>
        <w:rPr/>
      </w:pPr>
      <w:r>
        <w:rPr/>
      </w:r>
    </w:p>
    <w:p>
      <w:pPr>
        <w:pStyle w:val="Normal"/>
        <w:widowControl w:val="false"/>
        <w:ind w:start="-720" w:end="-648"/>
        <w:rPr/>
      </w:pPr>
      <w:r>
        <w:rPr>
          <w:b/>
          <w:u w:val="single"/>
        </w:rPr>
        <w:t>Chapter and Section Nos.</w:t>
      </w:r>
      <w:r>
        <w:rPr>
          <w:b/>
        </w:rPr>
        <w:tab/>
        <w:tab/>
        <w:tab/>
      </w:r>
      <w:r>
        <w:rPr>
          <w:b/>
          <w:u w:val="single"/>
        </w:rPr>
        <w:t>Title</w:t>
      </w:r>
      <w:r>
        <w:rPr>
          <w:b/>
        </w:rPr>
        <w:tab/>
        <w:tab/>
        <w:tab/>
        <w:tab/>
        <w:tab/>
      </w:r>
      <w:r>
        <w:rPr>
          <w:b/>
          <w:u w:val="single"/>
        </w:rPr>
        <w:t>Witness</w:t>
      </w:r>
      <w:r>
        <w:rPr>
          <w:b/>
        </w:rPr>
        <w:tab/>
      </w:r>
      <w:r>
        <w:rPr>
          <w:b/>
          <w:u w:val="single"/>
        </w:rPr>
        <w:t>Page No.</w:t>
      </w:r>
    </w:p>
    <w:p>
      <w:pPr>
        <w:pStyle w:val="Normal"/>
        <w:widowControl w:val="false"/>
        <w:ind w:start="-720" w:end="-648"/>
        <w:rPr>
          <w:b/>
          <w:u w:val="single"/>
        </w:rPr>
      </w:pPr>
      <w:r>
        <w:rPr>
          <w:b/>
          <w:u w:val="single"/>
        </w:rPr>
      </w:r>
    </w:p>
    <w:p>
      <w:pPr>
        <w:pStyle w:val="Heading8"/>
        <w:tabs>
          <w:tab w:val="clear" w:pos="1440"/>
          <w:tab w:val="clear" w:pos="8460"/>
        </w:tabs>
        <w:spacing w:lineRule="auto" w:line="312" w:before="0" w:after="0"/>
        <w:ind w:hanging="360" w:start="0" w:end="-648"/>
        <w:rPr/>
      </w:pPr>
      <w:r>
        <w:rPr/>
        <w:t>6</w:t>
        <w:tab/>
        <w:t>LARGE LIGHT AND POWER RATE DESIGN</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6.1</w:t>
        <w:tab/>
        <w:t>Introduction and Overview</w:t>
        <w:tab/>
      </w:r>
      <w:r>
        <w:rPr>
          <w:b/>
        </w:rPr>
        <w:t>William Gibson</w:t>
      </w:r>
      <w:r>
        <w:rPr/>
        <w:tab/>
        <w:t>6-1</w:t>
      </w:r>
    </w:p>
    <w:p>
      <w:pPr>
        <w:pStyle w:val="Normal"/>
        <w:widowControl w:val="false"/>
        <w:tabs>
          <w:tab w:val="clear" w:pos="720"/>
          <w:tab w:val="left" w:pos="900" w:leader="none"/>
          <w:tab w:val="left" w:pos="6480" w:leader="none"/>
          <w:tab w:val="left" w:pos="8910" w:leader="none"/>
        </w:tabs>
        <w:spacing w:lineRule="auto" w:line="312"/>
        <w:ind w:end="-648"/>
        <w:rPr/>
      </w:pPr>
      <w:r>
        <w:rPr/>
        <w:t>6.2</w:t>
        <w:tab/>
        <w:t>Large Light and Power Rate Design</w:t>
        <w:tab/>
        <w:tab/>
        <w:t>6-3</w:t>
      </w:r>
    </w:p>
    <w:p>
      <w:pPr>
        <w:pStyle w:val="Normal"/>
        <w:widowControl w:val="false"/>
        <w:tabs>
          <w:tab w:val="clear" w:pos="720"/>
          <w:tab w:val="left" w:pos="900" w:leader="none"/>
          <w:tab w:val="left" w:pos="6480" w:leader="none"/>
          <w:tab w:val="left" w:pos="8910" w:leader="none"/>
        </w:tabs>
        <w:spacing w:lineRule="auto" w:line="312"/>
        <w:ind w:end="-648"/>
        <w:rPr/>
      </w:pPr>
      <w:r>
        <w:rPr/>
        <w:t>6.2.1</w:t>
        <w:tab/>
        <w:t>PG&amp;E’s Current Large Light and Power Rate Structure</w:t>
        <w:tab/>
        <w:tab/>
        <w:t>6-3</w:t>
      </w:r>
    </w:p>
    <w:p>
      <w:pPr>
        <w:pStyle w:val="Normal"/>
        <w:widowControl w:val="false"/>
        <w:tabs>
          <w:tab w:val="clear" w:pos="720"/>
          <w:tab w:val="left" w:pos="900" w:leader="none"/>
          <w:tab w:val="left" w:pos="6480" w:leader="none"/>
          <w:tab w:val="left" w:pos="8910" w:leader="none"/>
        </w:tabs>
        <w:spacing w:lineRule="auto" w:line="312"/>
        <w:ind w:end="-648"/>
        <w:rPr/>
      </w:pPr>
      <w:r>
        <w:rPr/>
        <w:t>6.2.2</w:t>
        <w:tab/>
        <w:t>PG&amp;E’s Proposed Large Light and Power Rate Structure</w:t>
        <w:tab/>
        <w:tab/>
        <w:t>6-3</w:t>
      </w:r>
    </w:p>
    <w:p>
      <w:pPr>
        <w:pStyle w:val="Normal"/>
        <w:widowControl w:val="false"/>
        <w:tabs>
          <w:tab w:val="clear" w:pos="720"/>
          <w:tab w:val="left" w:pos="900" w:leader="none"/>
          <w:tab w:val="left" w:pos="6480" w:leader="none"/>
          <w:tab w:val="left" w:pos="8910" w:leader="none"/>
        </w:tabs>
        <w:spacing w:lineRule="auto" w:line="312"/>
        <w:ind w:end="-648"/>
        <w:rPr/>
      </w:pPr>
      <w:r>
        <w:rPr/>
        <w:t>6.2.3</w:t>
        <w:tab/>
        <w:t>ORA’s Proposed Rate Structure</w:t>
        <w:tab/>
        <w:tab/>
        <w:t>6-4</w:t>
      </w:r>
    </w:p>
    <w:p>
      <w:pPr>
        <w:pStyle w:val="Normal"/>
        <w:widowControl w:val="false"/>
        <w:tabs>
          <w:tab w:val="clear" w:pos="720"/>
          <w:tab w:val="left" w:pos="900" w:leader="none"/>
          <w:tab w:val="left" w:pos="6480" w:leader="none"/>
          <w:tab w:val="left" w:pos="8910" w:leader="none"/>
        </w:tabs>
        <w:spacing w:lineRule="auto" w:line="312"/>
        <w:ind w:end="-648"/>
        <w:rPr/>
      </w:pPr>
      <w:r>
        <w:rPr/>
        <w:t>6.2.4</w:t>
        <w:tab/>
        <w:t>Rate Limiters</w:t>
        <w:tab/>
        <w:tab/>
        <w:t>6-7</w:t>
      </w:r>
    </w:p>
    <w:p>
      <w:pPr>
        <w:pStyle w:val="Normal"/>
        <w:widowControl w:val="false"/>
        <w:tabs>
          <w:tab w:val="clear" w:pos="720"/>
          <w:tab w:val="left" w:pos="900" w:leader="none"/>
          <w:tab w:val="left" w:pos="6480" w:leader="none"/>
          <w:tab w:val="left" w:pos="8910" w:leader="none"/>
        </w:tabs>
        <w:spacing w:lineRule="auto" w:line="312"/>
        <w:ind w:end="-648"/>
        <w:rPr/>
      </w:pPr>
      <w:r>
        <w:rPr/>
        <w:t>6.2.5</w:t>
        <w:tab/>
        <w:t>Non-Firm Program</w:t>
        <w:tab/>
        <w:tab/>
        <w:t>6-7</w:t>
      </w:r>
    </w:p>
    <w:p>
      <w:pPr>
        <w:pStyle w:val="Normal"/>
        <w:widowControl w:val="false"/>
        <w:tabs>
          <w:tab w:val="clear" w:pos="720"/>
          <w:tab w:val="left" w:pos="900" w:leader="none"/>
          <w:tab w:val="left" w:pos="6480" w:leader="none"/>
          <w:tab w:val="left" w:pos="8910" w:leader="none"/>
        </w:tabs>
        <w:spacing w:lineRule="auto" w:line="312"/>
        <w:ind w:end="-648"/>
        <w:rPr/>
      </w:pPr>
      <w:r>
        <w:rPr/>
        <w:t>6.2.6</w:t>
        <w:tab/>
        <w:t>Standby Charges</w:t>
        <w:tab/>
        <w:tab/>
        <w:t>6-9</w:t>
      </w:r>
    </w:p>
    <w:p>
      <w:pPr>
        <w:pStyle w:val="Normal"/>
        <w:widowControl w:val="false"/>
        <w:tabs>
          <w:tab w:val="clear" w:pos="720"/>
          <w:tab w:val="left" w:pos="900" w:leader="none"/>
          <w:tab w:val="left" w:pos="6480" w:leader="none"/>
          <w:tab w:val="left" w:pos="8910" w:leader="none"/>
        </w:tabs>
        <w:spacing w:lineRule="auto" w:line="312"/>
        <w:ind w:end="-648"/>
        <w:rPr/>
      </w:pPr>
      <w:r>
        <w:rPr/>
        <w:t>6.2.7</w:t>
        <w:tab/>
        <w:t>On Going CTC Rates</w:t>
        <w:tab/>
        <w:tab/>
        <w:t>6-10</w:t>
      </w:r>
    </w:p>
    <w:p>
      <w:pPr>
        <w:pStyle w:val="Normal"/>
        <w:widowControl w:val="false"/>
        <w:tabs>
          <w:tab w:val="clear" w:pos="720"/>
          <w:tab w:val="left" w:pos="900" w:leader="none"/>
          <w:tab w:val="left" w:pos="6480" w:leader="none"/>
          <w:tab w:val="left" w:pos="8910" w:leader="none"/>
        </w:tabs>
        <w:spacing w:lineRule="auto" w:line="312"/>
        <w:ind w:end="-648"/>
        <w:rPr/>
      </w:pPr>
      <w:r>
        <w:rPr/>
        <w:t>6.3</w:t>
        <w:tab/>
        <w:t>Wire By-Pass Charges and Customized Rates</w:t>
        <w:tab/>
        <w:tab/>
        <w:t>6-10</w:t>
      </w:r>
    </w:p>
    <w:p>
      <w:pPr>
        <w:pStyle w:val="Normal"/>
        <w:widowControl w:val="false"/>
        <w:tabs>
          <w:tab w:val="clear" w:pos="720"/>
          <w:tab w:val="left" w:pos="900" w:leader="none"/>
          <w:tab w:val="left" w:pos="6480" w:leader="none"/>
          <w:tab w:val="left" w:pos="8910" w:leader="none"/>
        </w:tabs>
        <w:spacing w:lineRule="auto" w:line="312"/>
        <w:ind w:end="-648"/>
        <w:rPr/>
      </w:pPr>
      <w:r>
        <w:rPr/>
        <w:t>6.3.1</w:t>
        <w:tab/>
        <w:t>Wires Bypass</w:t>
        <w:tab/>
        <w:tab/>
        <w:t>6-11</w:t>
      </w:r>
    </w:p>
    <w:p>
      <w:pPr>
        <w:pStyle w:val="Normal"/>
        <w:widowControl w:val="false"/>
        <w:tabs>
          <w:tab w:val="clear" w:pos="720"/>
          <w:tab w:val="left" w:pos="900" w:leader="none"/>
          <w:tab w:val="left" w:pos="6480" w:leader="none"/>
          <w:tab w:val="left" w:pos="8910" w:leader="none"/>
        </w:tabs>
        <w:spacing w:lineRule="auto" w:line="312"/>
        <w:ind w:end="-648"/>
        <w:rPr/>
      </w:pPr>
      <w:r>
        <w:rPr/>
        <w:t>6.3.2</w:t>
        <w:tab/>
        <w:t>Flexible Pricing</w:t>
        <w:tab/>
        <w:tab/>
        <w:t>6-11</w:t>
      </w:r>
    </w:p>
    <w:p>
      <w:pPr>
        <w:pStyle w:val="Normal"/>
        <w:widowControl w:val="false"/>
        <w:tabs>
          <w:tab w:val="clear" w:pos="720"/>
          <w:tab w:val="left" w:pos="900" w:leader="none"/>
          <w:tab w:val="left" w:pos="6480" w:leader="none"/>
          <w:tab w:val="left" w:pos="8910" w:leader="none"/>
        </w:tabs>
        <w:spacing w:lineRule="auto" w:line="312"/>
        <w:ind w:end="-648"/>
        <w:rPr/>
      </w:pPr>
      <w:r>
        <w:rPr/>
        <w:t>6.4</w:t>
        <w:tab/>
        <w:t>Recommendation</w:t>
        <w:tab/>
        <w:tab/>
        <w:t>6-13</w:t>
      </w:r>
    </w:p>
    <w:p>
      <w:pPr>
        <w:pStyle w:val="Normal"/>
        <w:widowControl w:val="false"/>
        <w:ind w:start="-720" w:end="-648"/>
        <w:rPr>
          <w:b/>
          <w:u w:val="single"/>
        </w:rPr>
      </w:pPr>
      <w:r>
        <w:rPr>
          <w:b/>
          <w:u w:val="single"/>
        </w:rPr>
      </w:r>
    </w:p>
    <w:p>
      <w:pPr>
        <w:pStyle w:val="Heading8"/>
        <w:tabs>
          <w:tab w:val="clear" w:pos="1440"/>
          <w:tab w:val="clear" w:pos="8460"/>
        </w:tabs>
        <w:spacing w:before="0" w:after="0"/>
        <w:ind w:hanging="360" w:start="0" w:end="-648"/>
        <w:rPr/>
      </w:pPr>
      <w:r>
        <w:rPr/>
        <w:t>7</w:t>
        <w:tab/>
        <w:t>SMALL AND MEDIUM LIGHT AND POWER RATE DESIGN</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7.1</w:t>
        <w:tab/>
        <w:t>Introduction and Overview</w:t>
        <w:tab/>
      </w:r>
      <w:r>
        <w:rPr>
          <w:b/>
        </w:rPr>
        <w:t>Louise C. Huen</w:t>
      </w:r>
      <w:r>
        <w:rPr/>
        <w:tab/>
        <w:t>7-1</w:t>
      </w:r>
    </w:p>
    <w:p>
      <w:pPr>
        <w:pStyle w:val="Normal"/>
        <w:widowControl w:val="false"/>
        <w:tabs>
          <w:tab w:val="clear" w:pos="720"/>
          <w:tab w:val="left" w:pos="900" w:leader="none"/>
          <w:tab w:val="left" w:pos="6480" w:leader="none"/>
          <w:tab w:val="left" w:pos="8910" w:leader="none"/>
        </w:tabs>
        <w:spacing w:lineRule="auto" w:line="312"/>
        <w:ind w:end="-648"/>
        <w:rPr/>
      </w:pPr>
      <w:r>
        <w:rPr/>
        <w:t>7.2</w:t>
        <w:tab/>
        <w:t>Small and Medium Light and Power Class Consolidation</w:t>
        <w:tab/>
        <w:tab/>
        <w:t>7-1</w:t>
      </w:r>
    </w:p>
    <w:p>
      <w:pPr>
        <w:pStyle w:val="Normal"/>
        <w:widowControl w:val="false"/>
        <w:tabs>
          <w:tab w:val="clear" w:pos="720"/>
          <w:tab w:val="left" w:pos="900" w:leader="none"/>
          <w:tab w:val="left" w:pos="6480" w:leader="none"/>
          <w:tab w:val="left" w:pos="8910" w:leader="none"/>
        </w:tabs>
        <w:spacing w:lineRule="auto" w:line="312"/>
        <w:ind w:end="-648"/>
        <w:rPr/>
      </w:pPr>
      <w:r>
        <w:rPr/>
        <w:t>7.3</w:t>
        <w:tab/>
        <w:t>Small and Medium Light and Power Rate Design</w:t>
        <w:tab/>
        <w:tab/>
        <w:t>7-3</w:t>
      </w:r>
    </w:p>
    <w:p>
      <w:pPr>
        <w:pStyle w:val="Normal"/>
        <w:widowControl w:val="false"/>
        <w:tabs>
          <w:tab w:val="clear" w:pos="720"/>
          <w:tab w:val="left" w:pos="900" w:leader="none"/>
          <w:tab w:val="left" w:pos="6480" w:leader="none"/>
          <w:tab w:val="left" w:pos="8910" w:leader="none"/>
        </w:tabs>
        <w:spacing w:lineRule="auto" w:line="312"/>
        <w:ind w:end="-648"/>
        <w:rPr/>
      </w:pPr>
      <w:r>
        <w:rPr/>
        <w:t>7.4</w:t>
        <w:tab/>
        <w:t>Customer Charge</w:t>
        <w:tab/>
        <w:tab/>
        <w:t>7-5</w:t>
      </w:r>
    </w:p>
    <w:p>
      <w:pPr>
        <w:pStyle w:val="Normal"/>
        <w:widowControl w:val="false"/>
        <w:tabs>
          <w:tab w:val="clear" w:pos="720"/>
          <w:tab w:val="left" w:pos="900" w:leader="none"/>
          <w:tab w:val="left" w:pos="6480" w:leader="none"/>
          <w:tab w:val="left" w:pos="8910" w:leader="none"/>
        </w:tabs>
        <w:spacing w:lineRule="auto" w:line="312"/>
        <w:ind w:end="-648"/>
        <w:rPr/>
      </w:pPr>
      <w:r>
        <w:rPr/>
        <w:t>7.5</w:t>
        <w:tab/>
        <w:t>Recommendation</w:t>
        <w:tab/>
        <w:tab/>
        <w:t>7-5</w:t>
      </w:r>
      <w:r>
        <w:br w:type="page"/>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Heading4"/>
        <w:shd w:fill="FFFFFF" w:val="clear"/>
        <w:spacing w:lineRule="auto" w:line="240"/>
        <w:ind w:hanging="0" w:start="-720" w:end="-288"/>
        <w:rPr/>
      </w:pPr>
      <w:r>
        <w:rPr/>
        <w:t>OFFICE OF RATEPAYER ADVOCATES</w:t>
      </w:r>
    </w:p>
    <w:p>
      <w:pPr>
        <w:pStyle w:val="Heading4"/>
        <w:shd w:fill="FFFFFF" w:val="clear"/>
        <w:spacing w:lineRule="auto" w:line="240"/>
        <w:ind w:hanging="0" w:start="-720" w:end="-288"/>
        <w:rPr/>
      </w:pPr>
      <w:r>
        <w:rPr/>
        <w:t>Test Year 1999 General Rate Case – Phase 2</w:t>
      </w:r>
    </w:p>
    <w:p>
      <w:pPr>
        <w:pStyle w:val="Heading4"/>
        <w:shd w:fill="FFFFFF" w:val="clear"/>
        <w:spacing w:lineRule="auto" w:line="240"/>
        <w:ind w:hanging="0" w:start="-720" w:end="-288"/>
        <w:rPr/>
      </w:pPr>
      <w:r>
        <w:rPr/>
        <w:t>Pacific Gas and Electric Company, A.99-03-014</w:t>
      </w:r>
    </w:p>
    <w:p>
      <w:pPr>
        <w:pStyle w:val="Heading4"/>
        <w:spacing w:lineRule="auto" w:line="240"/>
        <w:ind w:hanging="0" w:start="0"/>
        <w:rPr/>
      </w:pPr>
      <w:r>
        <w:rPr/>
      </w:r>
    </w:p>
    <w:p>
      <w:pPr>
        <w:pStyle w:val="Heading4"/>
        <w:spacing w:lineRule="auto" w:line="240"/>
        <w:ind w:hanging="0" w:start="0"/>
        <w:rPr/>
      </w:pPr>
      <w:r>
        <w:rPr/>
        <w:t>TABLE OF CONTENTS - (continued)</w:t>
      </w:r>
    </w:p>
    <w:p>
      <w:pPr>
        <w:pStyle w:val="Normal"/>
        <w:rPr/>
      </w:pPr>
      <w:r>
        <w:rPr/>
      </w:r>
    </w:p>
    <w:p>
      <w:pPr>
        <w:pStyle w:val="Normal"/>
        <w:widowControl w:val="false"/>
        <w:ind w:start="-720" w:end="-648"/>
        <w:rPr/>
      </w:pPr>
      <w:r>
        <w:rPr>
          <w:b/>
          <w:u w:val="single"/>
        </w:rPr>
        <w:t>Chapter and Section Nos.</w:t>
      </w:r>
      <w:r>
        <w:rPr>
          <w:b/>
        </w:rPr>
        <w:tab/>
        <w:tab/>
        <w:tab/>
      </w:r>
      <w:r>
        <w:rPr>
          <w:b/>
          <w:u w:val="single"/>
        </w:rPr>
        <w:t>Title</w:t>
      </w:r>
      <w:r>
        <w:rPr>
          <w:b/>
        </w:rPr>
        <w:tab/>
        <w:tab/>
        <w:tab/>
        <w:tab/>
        <w:tab/>
      </w:r>
      <w:r>
        <w:rPr>
          <w:b/>
          <w:u w:val="single"/>
        </w:rPr>
        <w:t>Witness</w:t>
      </w:r>
      <w:r>
        <w:rPr>
          <w:b/>
        </w:rPr>
        <w:tab/>
      </w:r>
      <w:r>
        <w:rPr>
          <w:b/>
          <w:u w:val="single"/>
        </w:rPr>
        <w:t>Page No.</w:t>
      </w:r>
    </w:p>
    <w:p>
      <w:pPr>
        <w:pStyle w:val="Normal"/>
        <w:widowControl w:val="false"/>
        <w:tabs>
          <w:tab w:val="clear" w:pos="720"/>
          <w:tab w:val="left" w:pos="900" w:leader="none"/>
          <w:tab w:val="left" w:pos="6480" w:leader="none"/>
          <w:tab w:val="left" w:pos="8910" w:leader="none"/>
        </w:tabs>
        <w:spacing w:lineRule="auto" w:line="312"/>
        <w:ind w:end="-648"/>
        <w:rPr>
          <w:b/>
          <w:u w:val="single"/>
        </w:rPr>
      </w:pPr>
      <w:r>
        <w:rPr>
          <w:b/>
          <w:u w:val="single"/>
        </w:rPr>
      </w:r>
    </w:p>
    <w:p>
      <w:pPr>
        <w:pStyle w:val="Heading8"/>
        <w:tabs>
          <w:tab w:val="clear" w:pos="1440"/>
          <w:tab w:val="clear" w:pos="8460"/>
        </w:tabs>
        <w:spacing w:before="0" w:after="0"/>
        <w:ind w:hanging="360" w:start="0" w:end="-648"/>
        <w:rPr/>
      </w:pPr>
      <w:r>
        <w:rPr/>
        <w:t>8</w:t>
        <w:tab/>
        <w:t>AGRICULTURAL RATE DESIGN</w:t>
      </w:r>
    </w:p>
    <w:p>
      <w:pPr>
        <w:pStyle w:val="Normal"/>
        <w:widowControl w:val="false"/>
        <w:tabs>
          <w:tab w:val="clear" w:pos="720"/>
          <w:tab w:val="left" w:pos="900" w:leader="none"/>
          <w:tab w:val="left" w:pos="6480" w:leader="none"/>
          <w:tab w:val="left" w:pos="8910" w:leader="none"/>
        </w:tabs>
        <w:spacing w:lineRule="auto" w:line="312"/>
        <w:ind w:end="-648"/>
        <w:rPr/>
      </w:pPr>
      <w:r>
        <w:rPr/>
      </w:r>
    </w:p>
    <w:p>
      <w:pPr>
        <w:pStyle w:val="Normal"/>
        <w:widowControl w:val="false"/>
        <w:tabs>
          <w:tab w:val="clear" w:pos="720"/>
          <w:tab w:val="left" w:pos="900" w:leader="none"/>
          <w:tab w:val="left" w:pos="6480" w:leader="none"/>
          <w:tab w:val="left" w:pos="8910" w:leader="none"/>
        </w:tabs>
        <w:spacing w:lineRule="auto" w:line="312"/>
        <w:ind w:end="-648"/>
        <w:rPr/>
      </w:pPr>
      <w:r>
        <w:rPr/>
        <w:t>8.1</w:t>
        <w:tab/>
        <w:t xml:space="preserve">Introduction and Overview </w:t>
        <w:tab/>
      </w:r>
      <w:r>
        <w:rPr>
          <w:b/>
        </w:rPr>
        <w:t>Christopher J. Blunt</w:t>
      </w:r>
      <w:r>
        <w:rPr/>
        <w:tab/>
        <w:t>8-1</w:t>
      </w:r>
    </w:p>
    <w:p>
      <w:pPr>
        <w:pStyle w:val="Normal"/>
        <w:widowControl w:val="false"/>
        <w:tabs>
          <w:tab w:val="clear" w:pos="720"/>
          <w:tab w:val="left" w:pos="900" w:leader="none"/>
          <w:tab w:val="left" w:pos="6480" w:leader="none"/>
          <w:tab w:val="left" w:pos="8910" w:leader="none"/>
        </w:tabs>
        <w:spacing w:lineRule="auto" w:line="312"/>
        <w:ind w:end="-648"/>
        <w:rPr/>
      </w:pPr>
      <w:r>
        <w:rPr/>
        <w:t>8.2</w:t>
        <w:tab/>
        <w:t>Agricultural Cost Study</w:t>
        <w:tab/>
        <w:tab/>
        <w:t>8-2</w:t>
      </w:r>
    </w:p>
    <w:p>
      <w:pPr>
        <w:pStyle w:val="Normal"/>
        <w:widowControl w:val="false"/>
        <w:tabs>
          <w:tab w:val="clear" w:pos="720"/>
          <w:tab w:val="left" w:pos="900" w:leader="none"/>
          <w:tab w:val="left" w:pos="6480" w:leader="none"/>
          <w:tab w:val="left" w:pos="8910" w:leader="none"/>
        </w:tabs>
        <w:spacing w:lineRule="auto" w:line="312"/>
        <w:ind w:end="-648"/>
        <w:rPr/>
      </w:pPr>
      <w:r>
        <w:rPr/>
        <w:t>8.2.1</w:t>
        <w:tab/>
        <w:t>PG&amp;E Claims that D.97-03-017 Caused PG&amp;E’s Agricultural EPMC Targets</w:t>
      </w:r>
    </w:p>
    <w:p>
      <w:pPr>
        <w:pStyle w:val="Normal"/>
        <w:widowControl w:val="false"/>
        <w:tabs>
          <w:tab w:val="clear" w:pos="720"/>
          <w:tab w:val="left" w:pos="900" w:leader="none"/>
          <w:tab w:val="left" w:pos="6480" w:leader="none"/>
          <w:tab w:val="left" w:pos="8910" w:leader="none"/>
        </w:tabs>
        <w:spacing w:lineRule="auto" w:line="312"/>
        <w:ind w:end="-648"/>
        <w:rPr/>
      </w:pPr>
      <w:r>
        <w:rPr/>
        <w:tab/>
        <w:t>to Increase fifty-four Percent</w:t>
        <w:tab/>
        <w:tab/>
        <w:t>8-2</w:t>
      </w:r>
    </w:p>
    <w:p>
      <w:pPr>
        <w:pStyle w:val="Normal"/>
        <w:widowControl w:val="false"/>
        <w:tabs>
          <w:tab w:val="clear" w:pos="720"/>
          <w:tab w:val="left" w:pos="900" w:leader="none"/>
          <w:tab w:val="left" w:pos="6480" w:leader="none"/>
          <w:tab w:val="left" w:pos="8910" w:leader="none"/>
        </w:tabs>
        <w:spacing w:lineRule="auto" w:line="312"/>
        <w:ind w:end="-648"/>
        <w:rPr/>
      </w:pPr>
      <w:r>
        <w:rPr/>
        <w:t>8.3</w:t>
        <w:tab/>
        <w:t>Agricultural Class Consolidation</w:t>
        <w:tab/>
        <w:tab/>
        <w:t>8-3</w:t>
      </w:r>
    </w:p>
    <w:p>
      <w:pPr>
        <w:pStyle w:val="Normal"/>
        <w:widowControl w:val="false"/>
        <w:numPr>
          <w:ilvl w:val="2"/>
          <w:numId w:val="25"/>
        </w:numPr>
        <w:tabs>
          <w:tab w:val="clear" w:pos="720"/>
          <w:tab w:val="left" w:pos="6480" w:leader="none"/>
          <w:tab w:val="left" w:pos="8910" w:leader="none"/>
        </w:tabs>
        <w:spacing w:lineRule="auto" w:line="312"/>
        <w:ind w:hanging="900" w:start="900" w:end="-648"/>
        <w:rPr/>
      </w:pPr>
      <w:r>
        <w:rPr/>
        <w:t>Lower Loads and Lower Bills Could be Achieved Through</w:t>
      </w:r>
    </w:p>
    <w:p>
      <w:pPr>
        <w:pStyle w:val="Normal"/>
        <w:widowControl w:val="false"/>
        <w:tabs>
          <w:tab w:val="clear" w:pos="720"/>
          <w:tab w:val="left" w:pos="900" w:leader="none"/>
          <w:tab w:val="left" w:pos="6480" w:leader="none"/>
          <w:tab w:val="left" w:pos="8910" w:leader="none"/>
        </w:tabs>
        <w:spacing w:lineRule="auto" w:line="312"/>
        <w:ind w:end="-648"/>
        <w:rPr/>
      </w:pPr>
      <w:r>
        <w:rPr/>
        <w:tab/>
        <w:t>Higher Use of Time-of-Use Meters</w:t>
        <w:tab/>
        <w:tab/>
        <w:t>8-3</w:t>
      </w:r>
    </w:p>
    <w:p>
      <w:pPr>
        <w:pStyle w:val="Normal"/>
        <w:widowControl w:val="false"/>
        <w:tabs>
          <w:tab w:val="clear" w:pos="720"/>
          <w:tab w:val="left" w:pos="900" w:leader="none"/>
          <w:tab w:val="left" w:pos="6480" w:leader="none"/>
          <w:tab w:val="left" w:pos="8910" w:leader="none"/>
        </w:tabs>
        <w:spacing w:lineRule="auto" w:line="312"/>
        <w:ind w:end="-648"/>
        <w:rPr/>
      </w:pPr>
      <w:r>
        <w:rPr/>
        <w:t>8.3.2</w:t>
        <w:tab/>
        <w:t>New Time-of-Use Options</w:t>
        <w:tab/>
        <w:tab/>
        <w:t>8-4</w:t>
      </w:r>
    </w:p>
    <w:p>
      <w:pPr>
        <w:pStyle w:val="Normal"/>
        <w:widowControl w:val="false"/>
        <w:tabs>
          <w:tab w:val="clear" w:pos="720"/>
          <w:tab w:val="left" w:pos="900" w:leader="none"/>
          <w:tab w:val="left" w:pos="6480" w:leader="none"/>
          <w:tab w:val="left" w:pos="8910" w:leader="none"/>
        </w:tabs>
        <w:spacing w:lineRule="auto" w:line="312"/>
        <w:ind w:end="-648"/>
        <w:rPr/>
      </w:pPr>
      <w:r>
        <w:rPr/>
        <w:t>8.3.3</w:t>
        <w:tab/>
        <w:t>PG&amp;E’s Consolidation Shifts Marginal Customer Costs</w:t>
        <w:tab/>
        <w:tab/>
        <w:t>8-4</w:t>
      </w:r>
    </w:p>
    <w:p>
      <w:pPr>
        <w:pStyle w:val="Normal"/>
        <w:widowControl w:val="false"/>
        <w:tabs>
          <w:tab w:val="clear" w:pos="720"/>
          <w:tab w:val="left" w:pos="900" w:leader="none"/>
          <w:tab w:val="left" w:pos="6480" w:leader="none"/>
          <w:tab w:val="left" w:pos="8910" w:leader="none"/>
        </w:tabs>
        <w:spacing w:lineRule="auto" w:line="312"/>
        <w:ind w:end="-648"/>
        <w:rPr/>
      </w:pPr>
      <w:r>
        <w:rPr/>
        <w:t>8.3.4</w:t>
        <w:tab/>
        <w:t>Discounted Charges and Options</w:t>
        <w:tab/>
        <w:tab/>
        <w:t>8-4</w:t>
      </w:r>
    </w:p>
    <w:p>
      <w:pPr>
        <w:pStyle w:val="Normal"/>
        <w:widowControl w:val="false"/>
        <w:numPr>
          <w:ilvl w:val="2"/>
          <w:numId w:val="28"/>
        </w:numPr>
        <w:tabs>
          <w:tab w:val="clear" w:pos="720"/>
          <w:tab w:val="left" w:pos="6480" w:leader="none"/>
          <w:tab w:val="left" w:pos="8910" w:leader="none"/>
        </w:tabs>
        <w:spacing w:lineRule="auto" w:line="312"/>
        <w:ind w:hanging="900" w:start="900" w:end="-648"/>
        <w:rPr/>
      </w:pPr>
      <w:r>
        <w:rPr/>
        <w:t>Rates Should Reflect the Cost of Service</w:t>
        <w:tab/>
        <w:tab/>
        <w:t>8-5</w:t>
      </w:r>
    </w:p>
    <w:p>
      <w:pPr>
        <w:pStyle w:val="Normal"/>
        <w:widowControl w:val="false"/>
        <w:numPr>
          <w:ilvl w:val="2"/>
          <w:numId w:val="28"/>
        </w:numPr>
        <w:tabs>
          <w:tab w:val="clear" w:pos="720"/>
          <w:tab w:val="left" w:pos="6480" w:leader="none"/>
          <w:tab w:val="left" w:pos="8910" w:leader="none"/>
        </w:tabs>
        <w:spacing w:lineRule="auto" w:line="312"/>
        <w:ind w:hanging="900" w:start="900" w:end="-648"/>
        <w:rPr/>
      </w:pPr>
      <w:r>
        <w:rPr/>
        <w:t>Business Decisions Should be Based on Correct Price Signals</w:t>
        <w:tab/>
        <w:t>8-5</w:t>
      </w:r>
    </w:p>
    <w:p>
      <w:pPr>
        <w:pStyle w:val="Normal"/>
        <w:widowControl w:val="false"/>
        <w:tabs>
          <w:tab w:val="clear" w:pos="720"/>
          <w:tab w:val="left" w:pos="900" w:leader="none"/>
          <w:tab w:val="left" w:pos="6480" w:leader="none"/>
          <w:tab w:val="left" w:pos="8910" w:leader="none"/>
        </w:tabs>
        <w:spacing w:lineRule="auto" w:line="312"/>
        <w:ind w:end="-648"/>
        <w:rPr/>
      </w:pPr>
      <w:r>
        <w:rPr/>
        <w:t>8.4</w:t>
        <w:tab/>
        <w:t>Proposed Agricultural Applicability Statement</w:t>
        <w:tab/>
        <w:tab/>
        <w:t>8-5</w:t>
      </w:r>
    </w:p>
    <w:p>
      <w:pPr>
        <w:pStyle w:val="Normal"/>
        <w:widowControl w:val="false"/>
        <w:tabs>
          <w:tab w:val="clear" w:pos="720"/>
          <w:tab w:val="left" w:pos="900" w:leader="none"/>
          <w:tab w:val="left" w:pos="6480" w:leader="none"/>
          <w:tab w:val="left" w:pos="8910" w:leader="none"/>
        </w:tabs>
        <w:spacing w:lineRule="auto" w:line="312"/>
        <w:ind w:end="-648"/>
        <w:rPr/>
      </w:pPr>
      <w:r>
        <w:rPr/>
        <w:t>8.5</w:t>
        <w:tab/>
        <w:t>Large Agricultural Rate Design</w:t>
        <w:tab/>
        <w:tab/>
        <w:t>8-6</w:t>
      </w:r>
    </w:p>
    <w:p>
      <w:pPr>
        <w:pStyle w:val="Normal"/>
        <w:widowControl w:val="false"/>
        <w:tabs>
          <w:tab w:val="clear" w:pos="720"/>
          <w:tab w:val="left" w:pos="900" w:leader="none"/>
          <w:tab w:val="left" w:pos="6480" w:leader="none"/>
          <w:tab w:val="left" w:pos="8910" w:leader="none"/>
        </w:tabs>
        <w:spacing w:lineRule="auto" w:line="312"/>
        <w:ind w:end="-648"/>
        <w:rPr/>
      </w:pPr>
      <w:r>
        <w:rPr/>
        <w:t>8.6</w:t>
        <w:tab/>
        <w:t>Agricultural Rate Design</w:t>
        <w:tab/>
        <w:tab/>
        <w:t>8-6</w:t>
      </w:r>
    </w:p>
    <w:p>
      <w:pPr>
        <w:pStyle w:val="Normal"/>
        <w:widowControl w:val="false"/>
        <w:tabs>
          <w:tab w:val="clear" w:pos="720"/>
          <w:tab w:val="left" w:pos="900" w:leader="none"/>
          <w:tab w:val="left" w:pos="6480" w:leader="none"/>
          <w:tab w:val="left" w:pos="8910" w:leader="none"/>
        </w:tabs>
        <w:spacing w:lineRule="auto" w:line="312"/>
        <w:ind w:end="-648"/>
        <w:rPr/>
      </w:pPr>
      <w:r>
        <w:rPr/>
        <w:t>8.6.1</w:t>
        <w:tab/>
        <w:t>A 15 Percent Cap on Distribution Rates</w:t>
        <w:tab/>
        <w:tab/>
        <w:t>8-6</w:t>
      </w:r>
    </w:p>
    <w:p>
      <w:pPr>
        <w:pStyle w:val="Normal"/>
        <w:widowControl w:val="false"/>
        <w:tabs>
          <w:tab w:val="clear" w:pos="720"/>
          <w:tab w:val="left" w:pos="900" w:leader="none"/>
          <w:tab w:val="left" w:pos="6480" w:leader="none"/>
          <w:tab w:val="left" w:pos="8910" w:leader="none"/>
        </w:tabs>
        <w:spacing w:lineRule="auto" w:line="312"/>
        <w:ind w:end="-648"/>
        <w:rPr/>
      </w:pPr>
      <w:r>
        <w:rPr/>
        <w:t>8.7</w:t>
        <w:tab/>
        <w:t>Recommendation</w:t>
        <w:tab/>
        <w:tab/>
        <w:t>8-7</w:t>
      </w:r>
    </w:p>
    <w:p>
      <w:pPr>
        <w:pStyle w:val="Heading8"/>
        <w:tabs>
          <w:tab w:val="clear" w:pos="1440"/>
          <w:tab w:val="clear" w:pos="8460"/>
        </w:tabs>
        <w:spacing w:lineRule="auto" w:line="312" w:before="0" w:after="0"/>
        <w:ind w:hanging="360" w:start="0" w:end="-648"/>
        <w:rPr/>
      </w:pPr>
      <w:r>
        <w:rPr/>
        <w:t>9</w:t>
        <w:tab/>
        <w:t>STREET LIGHTING</w:t>
      </w:r>
    </w:p>
    <w:p>
      <w:pPr>
        <w:pStyle w:val="Normal"/>
        <w:widowControl w:val="false"/>
        <w:tabs>
          <w:tab w:val="clear" w:pos="720"/>
          <w:tab w:val="left" w:pos="900" w:leader="none"/>
          <w:tab w:val="left" w:pos="6480" w:leader="none"/>
          <w:tab w:val="left" w:pos="8910" w:leader="none"/>
        </w:tabs>
        <w:spacing w:lineRule="auto" w:line="312"/>
        <w:ind w:end="-648"/>
        <w:rPr/>
      </w:pPr>
      <w:r>
        <w:rPr/>
        <w:t>9.1</w:t>
        <w:tab/>
        <w:t>Introduction and Overview</w:t>
        <w:tab/>
      </w:r>
      <w:r>
        <w:rPr>
          <w:b/>
        </w:rPr>
        <w:t>Roy Evans</w:t>
      </w:r>
      <w:r>
        <w:rPr/>
        <w:tab/>
        <w:t>9-1</w:t>
      </w:r>
    </w:p>
    <w:p>
      <w:pPr>
        <w:pStyle w:val="Normal"/>
        <w:widowControl w:val="false"/>
        <w:tabs>
          <w:tab w:val="clear" w:pos="720"/>
          <w:tab w:val="left" w:pos="900" w:leader="none"/>
          <w:tab w:val="left" w:pos="6480" w:leader="none"/>
          <w:tab w:val="left" w:pos="8910" w:leader="none"/>
        </w:tabs>
        <w:spacing w:lineRule="auto" w:line="312"/>
        <w:ind w:end="-648"/>
        <w:rPr/>
      </w:pPr>
      <w:r>
        <w:rPr/>
        <w:t>9.2</w:t>
        <w:tab/>
        <w:t>Background</w:t>
        <w:tab/>
        <w:tab/>
        <w:t>9-2</w:t>
      </w:r>
    </w:p>
    <w:p>
      <w:pPr>
        <w:pStyle w:val="Normal"/>
        <w:widowControl w:val="false"/>
        <w:tabs>
          <w:tab w:val="clear" w:pos="720"/>
          <w:tab w:val="left" w:pos="900" w:leader="none"/>
          <w:tab w:val="left" w:pos="6480" w:leader="none"/>
          <w:tab w:val="left" w:pos="8910" w:leader="none"/>
        </w:tabs>
        <w:spacing w:lineRule="auto" w:line="312"/>
        <w:ind w:end="-648"/>
        <w:rPr/>
      </w:pPr>
      <w:r>
        <w:rPr/>
        <w:t>9.3</w:t>
        <w:tab/>
        <w:t>Proposed Class Closures</w:t>
        <w:tab/>
        <w:tab/>
        <w:t>9-3</w:t>
      </w:r>
    </w:p>
    <w:p>
      <w:pPr>
        <w:pStyle w:val="Normal"/>
        <w:widowControl w:val="false"/>
        <w:tabs>
          <w:tab w:val="clear" w:pos="720"/>
          <w:tab w:val="left" w:pos="900" w:leader="none"/>
          <w:tab w:val="left" w:pos="6480" w:leader="none"/>
          <w:tab w:val="left" w:pos="8910" w:leader="none"/>
        </w:tabs>
        <w:spacing w:lineRule="auto" w:line="312"/>
        <w:ind w:end="-648"/>
        <w:rPr/>
      </w:pPr>
      <w:r>
        <w:rPr/>
        <w:t>9.4</w:t>
        <w:tab/>
        <w:t>Service Connections and Line Extensions - Rules 15 and 16</w:t>
        <w:tab/>
        <w:t>9-3</w:t>
      </w:r>
    </w:p>
    <w:p>
      <w:pPr>
        <w:pStyle w:val="Normal"/>
        <w:widowControl w:val="false"/>
        <w:tabs>
          <w:tab w:val="clear" w:pos="720"/>
          <w:tab w:val="left" w:pos="900" w:leader="none"/>
          <w:tab w:val="left" w:pos="6480" w:leader="none"/>
          <w:tab w:val="left" w:pos="8910" w:leader="none"/>
        </w:tabs>
        <w:spacing w:lineRule="auto" w:line="312"/>
        <w:ind w:end="-648"/>
        <w:rPr/>
      </w:pPr>
      <w:r>
        <w:rPr/>
        <w:t>9.5</w:t>
        <w:tab/>
        <w:t>Rate Schedule LS-3 Issues</w:t>
        <w:tab/>
        <w:tab/>
        <w:t>9-3</w:t>
      </w:r>
    </w:p>
    <w:p>
      <w:pPr>
        <w:pStyle w:val="Normal"/>
        <w:widowControl w:val="false"/>
        <w:tabs>
          <w:tab w:val="clear" w:pos="720"/>
          <w:tab w:val="left" w:pos="900" w:leader="none"/>
          <w:tab w:val="left" w:pos="6480" w:leader="none"/>
          <w:tab w:val="left" w:pos="8910" w:leader="none"/>
        </w:tabs>
        <w:spacing w:lineRule="auto" w:line="312"/>
        <w:ind w:end="-648"/>
        <w:rPr/>
      </w:pPr>
      <w:r>
        <w:rPr/>
        <w:t>9.6</w:t>
        <w:tab/>
        <w:t>Recommendation</w:t>
        <w:tab/>
        <w:tab/>
        <w:t>9-3</w:t>
      </w:r>
    </w:p>
    <w:p>
      <w:pPr>
        <w:pStyle w:val="Heading4"/>
        <w:spacing w:lineRule="auto" w:line="240"/>
        <w:ind w:hanging="0" w:start="0"/>
        <w:rPr/>
      </w:pPr>
      <w:r>
        <w:rPr/>
        <w:t>TABLE OF CONTENTS</w:t>
      </w:r>
    </w:p>
    <w:p>
      <w:pPr>
        <w:pStyle w:val="Heading4"/>
        <w:shd w:fill="FFFFFF" w:val="clear"/>
        <w:spacing w:lineRule="auto" w:line="240"/>
        <w:ind w:hanging="0" w:start="-720" w:end="-288"/>
        <w:rPr/>
      </w:pPr>
      <w:r>
        <w:rPr/>
        <w:t>OFFICE OF RATEPAYER ADVOCATES</w:t>
      </w:r>
    </w:p>
    <w:p>
      <w:pPr>
        <w:pStyle w:val="Heading4"/>
        <w:shd w:fill="FFFFFF" w:val="clear"/>
        <w:spacing w:lineRule="auto" w:line="240"/>
        <w:ind w:hanging="0" w:start="-720" w:end="-288"/>
        <w:rPr/>
      </w:pPr>
      <w:r>
        <w:rPr/>
        <w:t>Test Year 1999 General Rate Case – Phase 2</w:t>
      </w:r>
    </w:p>
    <w:p>
      <w:pPr>
        <w:pStyle w:val="Heading4"/>
        <w:shd w:fill="FFFFFF" w:val="clear"/>
        <w:spacing w:lineRule="auto" w:line="240"/>
        <w:ind w:hanging="0" w:start="-720" w:end="-288"/>
        <w:rPr/>
      </w:pPr>
      <w:r>
        <w:rPr/>
        <w:t>Pacific Gas and Electric Company, A.99-03-014</w:t>
      </w:r>
    </w:p>
    <w:p>
      <w:pPr>
        <w:pStyle w:val="Heading4"/>
        <w:spacing w:lineRule="auto" w:line="240"/>
        <w:ind w:hanging="0" w:start="0"/>
        <w:rPr/>
      </w:pPr>
      <w:r>
        <w:rPr/>
      </w:r>
    </w:p>
    <w:p>
      <w:pPr>
        <w:pStyle w:val="Heading4"/>
        <w:spacing w:lineRule="auto" w:line="240"/>
        <w:ind w:hanging="0" w:start="0"/>
        <w:rPr/>
      </w:pPr>
      <w:r>
        <w:rPr/>
        <w:t>TABLE OF CONTENTS - (continued)</w:t>
      </w:r>
    </w:p>
    <w:p>
      <w:pPr>
        <w:pStyle w:val="Normal"/>
        <w:rPr/>
      </w:pPr>
      <w:r>
        <w:rPr/>
      </w:r>
    </w:p>
    <w:p>
      <w:pPr>
        <w:pStyle w:val="Normal"/>
        <w:widowControl w:val="false"/>
        <w:ind w:start="-720" w:end="-648"/>
        <w:rPr/>
      </w:pPr>
      <w:r>
        <w:rPr>
          <w:b/>
          <w:u w:val="single"/>
        </w:rPr>
        <w:t>Chapter and Section Nos.</w:t>
      </w:r>
      <w:r>
        <w:rPr>
          <w:b/>
        </w:rPr>
        <w:tab/>
        <w:tab/>
        <w:tab/>
      </w:r>
      <w:r>
        <w:rPr>
          <w:b/>
          <w:u w:val="single"/>
        </w:rPr>
        <w:t>Title</w:t>
      </w:r>
      <w:r>
        <w:rPr>
          <w:b/>
        </w:rPr>
        <w:tab/>
        <w:tab/>
        <w:tab/>
        <w:tab/>
        <w:tab/>
      </w:r>
      <w:r>
        <w:rPr>
          <w:b/>
          <w:u w:val="single"/>
        </w:rPr>
        <w:t>Witness</w:t>
      </w:r>
      <w:r>
        <w:rPr>
          <w:b/>
        </w:rPr>
        <w:tab/>
      </w:r>
      <w:r>
        <w:rPr>
          <w:b/>
          <w:u w:val="single"/>
        </w:rPr>
        <w:t>Page No.</w:t>
      </w:r>
    </w:p>
    <w:p>
      <w:pPr>
        <w:pStyle w:val="Normal"/>
        <w:rPr>
          <w:b/>
          <w:u w:val="single"/>
        </w:rPr>
      </w:pPr>
      <w:r>
        <w:rPr>
          <w:b/>
          <w:u w:val="single"/>
        </w:rPr>
      </w:r>
    </w:p>
    <w:p>
      <w:pPr>
        <w:pStyle w:val="Normal"/>
        <w:widowControl w:val="false"/>
        <w:shd w:fill="F2F2F2" w:val="clear"/>
        <w:tabs>
          <w:tab w:val="left" w:pos="720" w:leader="none"/>
          <w:tab w:val="left" w:pos="1440" w:leader="none"/>
          <w:tab w:val="right" w:pos="8460" w:leader="none"/>
        </w:tabs>
        <w:spacing w:lineRule="auto" w:line="360"/>
        <w:ind w:hanging="720" w:start="720" w:end="0"/>
        <w:rPr>
          <w:b/>
        </w:rPr>
      </w:pPr>
      <w:r>
        <w:rPr>
          <w:b/>
        </w:rPr>
        <w:tab/>
        <w:t>APPENDIX A</w:t>
      </w:r>
    </w:p>
    <w:p>
      <w:pPr>
        <w:pStyle w:val="Normal"/>
        <w:widowControl w:val="false"/>
        <w:tabs>
          <w:tab w:val="left" w:pos="720" w:leader="none"/>
          <w:tab w:val="left" w:pos="1440" w:leader="none"/>
          <w:tab w:val="right" w:pos="8460" w:leader="none"/>
        </w:tabs>
        <w:spacing w:lineRule="auto" w:line="360"/>
        <w:rPr/>
      </w:pPr>
      <w:r>
        <w:rPr/>
        <w:t>Witness Qualifications</w:t>
        <w:tab/>
        <w:t>All Witnesses</w:t>
      </w:r>
    </w:p>
    <w:p>
      <w:pPr>
        <w:pStyle w:val="Normal"/>
        <w:widowControl w:val="false"/>
        <w:shd w:fill="F2F2F2" w:val="clear"/>
        <w:tabs>
          <w:tab w:val="left" w:pos="720" w:leader="none"/>
          <w:tab w:val="left" w:pos="1440" w:leader="none"/>
          <w:tab w:val="right" w:pos="8460" w:leader="none"/>
        </w:tabs>
        <w:spacing w:lineRule="auto" w:line="360"/>
        <w:ind w:hanging="720" w:start="720" w:end="0"/>
        <w:rPr>
          <w:b/>
        </w:rPr>
      </w:pPr>
      <w:r>
        <w:rPr>
          <w:b/>
        </w:rPr>
        <w:tab/>
        <w:t>APPENDIX B</w:t>
      </w:r>
    </w:p>
    <w:p>
      <w:pPr>
        <w:pStyle w:val="Normal"/>
        <w:widowControl w:val="false"/>
        <w:tabs>
          <w:tab w:val="left" w:pos="720" w:leader="none"/>
          <w:tab w:val="left" w:pos="1440" w:leader="none"/>
          <w:tab w:val="right" w:pos="8460" w:leader="none"/>
        </w:tabs>
        <w:spacing w:lineRule="auto" w:line="360"/>
        <w:rPr/>
      </w:pPr>
      <w:r>
        <w:rPr/>
        <w:t>Comments on the PG&amp;E Computer Model, the Integrated Rate Model – Donald R. Smith</w:t>
        <w:tab/>
      </w:r>
    </w:p>
    <w:p>
      <w:pPr>
        <w:sectPr>
          <w:footerReference w:type="default" r:id="rId3"/>
          <w:type w:val="nextPage"/>
          <w:pgSz w:w="12240" w:h="15840"/>
          <w:pgMar w:left="1440" w:right="1440" w:gutter="0" w:header="0" w:top="1440" w:footer="720" w:bottom="1440"/>
          <w:lnNumType w:countBy="1" w:restart="newPage" w:distance="283"/>
          <w:pgNumType w:start="1" w:fmt="lowerRoman"/>
          <w:formProt w:val="false"/>
          <w:textDirection w:val="lrTb"/>
          <w:docGrid w:type="default" w:linePitch="360" w:charSpace="0"/>
        </w:sectPr>
        <w:pStyle w:val="Normal"/>
        <w:widowControl w:val="false"/>
        <w:tabs>
          <w:tab w:val="left" w:pos="720" w:leader="none"/>
          <w:tab w:val="left" w:pos="1440" w:leader="none"/>
          <w:tab w:val="right" w:pos="8460" w:leader="none"/>
        </w:tabs>
        <w:spacing w:lineRule="auto" w:line="360"/>
        <w:rPr/>
      </w:pPr>
      <w:r>
        <w:rPr/>
      </w:r>
    </w:p>
    <w:p>
      <w:pPr>
        <w:pStyle w:val="Heading4"/>
        <w:ind w:hanging="0" w:start="0"/>
        <w:rPr/>
      </w:pPr>
      <w:r>
        <w:rPr/>
        <w:t>CHAPTER 1</w:t>
      </w:r>
    </w:p>
    <w:p>
      <w:pPr>
        <w:pStyle w:val="Heading4"/>
        <w:ind w:hanging="0" w:start="0"/>
        <w:rPr>
          <w:u w:val="single"/>
        </w:rPr>
      </w:pPr>
      <w:r>
        <w:rPr>
          <w:u w:val="single"/>
        </w:rPr>
        <w:t>INTRODUCTION</w:t>
      </w:r>
    </w:p>
    <w:p>
      <w:pPr>
        <w:pStyle w:val="Normal"/>
        <w:widowControl w:val="false"/>
        <w:spacing w:lineRule="auto" w:line="360"/>
        <w:jc w:val="center"/>
        <w:rPr>
          <w:b/>
          <w:sz w:val="28"/>
          <w:u w:val="single"/>
        </w:rPr>
      </w:pPr>
      <w:r>
        <w:rPr>
          <w:b/>
          <w:sz w:val="28"/>
          <w:u w:val="single"/>
        </w:rPr>
      </w:r>
    </w:p>
    <w:p>
      <w:pPr>
        <w:pStyle w:val="Heading2"/>
        <w:spacing w:lineRule="auto" w:line="360" w:before="0" w:after="0"/>
        <w:ind w:hanging="0" w:start="0"/>
        <w:rPr>
          <w:rFonts w:ascii="Times New Roman" w:hAnsi="Times New Roman" w:cs="Times New Roman"/>
        </w:rPr>
      </w:pPr>
      <w:r>
        <w:rPr>
          <w:rFonts w:cs="Times New Roman" w:ascii="Times New Roman" w:hAnsi="Times New Roman"/>
        </w:rPr>
        <w:t>Witness:  Christopher J. Blunt</w:t>
      </w:r>
    </w:p>
    <w:p>
      <w:pPr>
        <w:pStyle w:val="Normal"/>
        <w:rPr>
          <w:rFonts w:ascii="Times New Roman" w:hAnsi="Times New Roman" w:cs="Times New Roman"/>
        </w:rPr>
      </w:pPr>
      <w:r>
        <w:rPr>
          <w:rFonts w:cs="Times New Roman"/>
        </w:rPr>
      </w:r>
    </w:p>
    <w:p>
      <w:pPr>
        <w:pStyle w:val="Normal"/>
        <w:widowControl w:val="false"/>
        <w:spacing w:lineRule="auto" w:line="360"/>
        <w:rPr/>
      </w:pPr>
      <w:r>
        <w:rPr>
          <w:b/>
        </w:rPr>
        <w:t>1-1</w:t>
        <w:tab/>
      </w:r>
      <w:r>
        <w:rPr>
          <w:b/>
          <w:u w:val="single"/>
        </w:rPr>
        <w:t>Introduction</w:t>
      </w:r>
    </w:p>
    <w:p>
      <w:pPr>
        <w:pStyle w:val="Normal"/>
        <w:spacing w:lineRule="auto" w:line="360"/>
        <w:ind w:firstLine="720" w:end="0"/>
        <w:rPr/>
      </w:pPr>
      <w:r>
        <w:rPr/>
        <w:t>The Office of Ratepayer Advocates (“ORA”) files this report with the California Public Utilities Commission (”Commission”) in Phase 2 of the Test Year 1999 General Rate Case Application of Pacific Gas and Electric Company (“PG&amp;E”).  In this proceeding, the Commission will adopt methodology for the allocation of distribution revenue requirement.  The allocation of other functional revenues is simply a placeholder pending the outcome of different proceedings where those issues are being resolved.  In accordance with PG&amp;E’s application, ORA submits its recommendations on the following issues:</w:t>
      </w:r>
    </w:p>
    <w:p>
      <w:pPr>
        <w:pStyle w:val="Normal"/>
        <w:numPr>
          <w:ilvl w:val="0"/>
          <w:numId w:val="24"/>
        </w:numPr>
        <w:spacing w:lineRule="auto" w:line="360"/>
        <w:rPr/>
      </w:pPr>
      <w:r>
        <w:rPr/>
        <w:t>EPMC Ratemaking.</w:t>
      </w:r>
    </w:p>
    <w:p>
      <w:pPr>
        <w:pStyle w:val="Normal"/>
        <w:numPr>
          <w:ilvl w:val="0"/>
          <w:numId w:val="24"/>
        </w:numPr>
        <w:spacing w:lineRule="auto" w:line="360"/>
        <w:rPr/>
      </w:pPr>
      <w:r>
        <w:rPr/>
        <w:t>Marginal Costs.</w:t>
      </w:r>
    </w:p>
    <w:p>
      <w:pPr>
        <w:pStyle w:val="Normal"/>
        <w:numPr>
          <w:ilvl w:val="0"/>
          <w:numId w:val="24"/>
        </w:numPr>
        <w:spacing w:lineRule="auto" w:line="360"/>
        <w:rPr/>
      </w:pPr>
      <w:r>
        <w:rPr/>
        <w:t>Revenue Allocation.</w:t>
      </w:r>
    </w:p>
    <w:p>
      <w:pPr>
        <w:pStyle w:val="Normal"/>
        <w:numPr>
          <w:ilvl w:val="0"/>
          <w:numId w:val="24"/>
        </w:numPr>
        <w:spacing w:lineRule="auto" w:line="360"/>
        <w:rPr/>
      </w:pPr>
      <w:r>
        <w:rPr/>
        <w:t>Residential Rate Design.</w:t>
      </w:r>
    </w:p>
    <w:p>
      <w:pPr>
        <w:pStyle w:val="Normal"/>
        <w:numPr>
          <w:ilvl w:val="0"/>
          <w:numId w:val="24"/>
        </w:numPr>
        <w:spacing w:lineRule="auto" w:line="360"/>
        <w:rPr/>
      </w:pPr>
      <w:r>
        <w:rPr/>
        <w:t>Large Light and Power Rate Design.</w:t>
      </w:r>
    </w:p>
    <w:p>
      <w:pPr>
        <w:pStyle w:val="Normal"/>
        <w:numPr>
          <w:ilvl w:val="0"/>
          <w:numId w:val="24"/>
        </w:numPr>
        <w:spacing w:lineRule="auto" w:line="360"/>
        <w:rPr/>
      </w:pPr>
      <w:r>
        <w:rPr/>
        <w:t>Small and Medium Light and Power Rate Design.</w:t>
      </w:r>
    </w:p>
    <w:p>
      <w:pPr>
        <w:pStyle w:val="Normal"/>
        <w:numPr>
          <w:ilvl w:val="0"/>
          <w:numId w:val="24"/>
        </w:numPr>
        <w:spacing w:lineRule="auto" w:line="360"/>
        <w:rPr/>
      </w:pPr>
      <w:r>
        <w:rPr/>
        <w:t>Agricultural Rate Design.</w:t>
      </w:r>
    </w:p>
    <w:p>
      <w:pPr>
        <w:sectPr>
          <w:footerReference w:type="default" r:id="rId4"/>
          <w:footerReference w:type="first" r:id="rId5"/>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numPr>
          <w:ilvl w:val="0"/>
          <w:numId w:val="24"/>
        </w:numPr>
        <w:spacing w:lineRule="auto" w:line="360"/>
        <w:rPr/>
      </w:pPr>
      <w:r>
        <w:rPr/>
        <w:t>Street Lighting.</w:t>
      </w:r>
    </w:p>
    <w:p>
      <w:pPr>
        <w:pStyle w:val="Heading4"/>
        <w:ind w:hanging="0" w:start="0"/>
        <w:rPr/>
      </w:pPr>
      <w:r>
        <w:rPr/>
        <w:t>CHAPTER 2</w:t>
      </w:r>
    </w:p>
    <w:p>
      <w:pPr>
        <w:pStyle w:val="Heading4"/>
        <w:ind w:hanging="0" w:start="0"/>
        <w:rPr>
          <w:u w:val="single"/>
        </w:rPr>
      </w:pPr>
      <w:r>
        <w:rPr>
          <w:u w:val="single"/>
        </w:rPr>
        <w:t>OVERALL POLICY</w:t>
      </w:r>
    </w:p>
    <w:p>
      <w:pPr>
        <w:pStyle w:val="Normal"/>
        <w:widowControl w:val="false"/>
        <w:spacing w:lineRule="auto" w:line="360"/>
        <w:jc w:val="center"/>
        <w:rPr>
          <w:b/>
          <w:sz w:val="28"/>
          <w:u w:val="single"/>
        </w:rPr>
      </w:pPr>
      <w:r>
        <w:rPr>
          <w:b/>
          <w:sz w:val="28"/>
          <w:u w:val="single"/>
        </w:rPr>
      </w:r>
    </w:p>
    <w:p>
      <w:pPr>
        <w:pStyle w:val="Heading2"/>
        <w:spacing w:lineRule="auto" w:line="360" w:before="0" w:after="0"/>
        <w:ind w:hanging="0" w:start="0"/>
        <w:rPr>
          <w:rFonts w:ascii="Times New Roman" w:hAnsi="Times New Roman" w:cs="Times New Roman"/>
        </w:rPr>
      </w:pPr>
      <w:r>
        <w:rPr>
          <w:rFonts w:cs="Times New Roman" w:ascii="Times New Roman" w:hAnsi="Times New Roman"/>
        </w:rPr>
        <w:t>Witness:  Sean F. Casey</w:t>
      </w:r>
    </w:p>
    <w:p>
      <w:pPr>
        <w:pStyle w:val="Normal"/>
        <w:rPr>
          <w:rFonts w:ascii="Times New Roman" w:hAnsi="Times New Roman" w:cs="Times New Roman"/>
        </w:rPr>
      </w:pPr>
      <w:r>
        <w:rPr>
          <w:rFonts w:cs="Times New Roman"/>
        </w:rPr>
      </w:r>
    </w:p>
    <w:p>
      <w:pPr>
        <w:pStyle w:val="Normal"/>
        <w:widowControl w:val="false"/>
        <w:numPr>
          <w:ilvl w:val="1"/>
          <w:numId w:val="8"/>
        </w:numPr>
        <w:spacing w:lineRule="auto" w:line="360"/>
        <w:rPr>
          <w:b/>
          <w:u w:val="single"/>
        </w:rPr>
      </w:pPr>
      <w:r>
        <w:rPr>
          <w:b/>
          <w:u w:val="single"/>
        </w:rPr>
        <w:t>Introduction and Overview</w:t>
      </w:r>
    </w:p>
    <w:p>
      <w:pPr>
        <w:pStyle w:val="Normal"/>
        <w:widowControl w:val="false"/>
        <w:spacing w:lineRule="auto" w:line="360"/>
        <w:ind w:firstLine="720" w:end="0"/>
        <w:rPr/>
      </w:pPr>
      <w:r>
        <w:rPr/>
        <w:t>PG&amp;E’s filing (A.99-03-014) proposes a marginal cost methodology, a revenue allocation, and rate design to collect the $2.0 billion distribution revenue requirement from its 4 million distribution customers in the post-rate-freeze period.  In its March 2000 update filing, PG&amp;E estimated its entire annual post-rate-freeze-revenues at about $6.4 billion; so this filing involves about one-third of these revenues.  Underlying, however, the $6.4 billion revenue forecast, PG&amp;E assumed an average Power Exchange (PX) price of 3.0 cents/kWh (a delivered average price of 3.4 cents/kWh).  Of course, this summer’s dramatic electric commodity price increases render such a forecast suspect.  ORA has first, for a strict comparison with PG&amp;E’s results, also assumed a 3.0 cents/kWh PX price.  We also analyze scenarios assuming a 6.0 cents/kWh average and a 10.0 cents/kWh average commodity price.</w:t>
      </w:r>
      <w:r>
        <w:rPr>
          <w:rStyle w:val="FootnoteCharacters"/>
          <w:rStyle w:val="FootnoteReference"/>
        </w:rPr>
        <w:footnoteReference w:id="2"/>
      </w:r>
      <w:r>
        <w:rPr/>
        <w:t xml:space="preserve">  Nonetheless, the $2 billion distribution revenue requirement is clearly the largest factor in most customers’ electricity bills after paying the ISO and PX for commodity purchases.</w:t>
      </w:r>
    </w:p>
    <w:p>
      <w:pPr>
        <w:pStyle w:val="Normal"/>
        <w:widowControl w:val="false"/>
        <w:spacing w:lineRule="auto" w:line="360"/>
        <w:ind w:start="720" w:end="0"/>
        <w:rPr/>
      </w:pPr>
      <w:r>
        <w:rPr/>
        <w:t>PG&amp;E’s major proposals result in a revenue allocation of the distribution revenue requirement as follows:</w:t>
      </w:r>
    </w:p>
    <w:p>
      <w:pPr>
        <w:pStyle w:val="Normal"/>
        <w:widowControl w:val="false"/>
        <w:numPr>
          <w:ilvl w:val="0"/>
          <w:numId w:val="2"/>
        </w:numPr>
        <w:spacing w:lineRule="auto" w:line="360"/>
        <w:rPr/>
      </w:pPr>
      <w:r>
        <w:rPr/>
        <w:t xml:space="preserve">$1.067 billion, or 51 percent of the revenue requirement, to residential customers, </w:t>
      </w:r>
    </w:p>
    <w:p>
      <w:pPr>
        <w:pStyle w:val="Normal"/>
        <w:widowControl w:val="false"/>
        <w:numPr>
          <w:ilvl w:val="0"/>
          <w:numId w:val="2"/>
        </w:numPr>
        <w:spacing w:lineRule="auto" w:line="360"/>
        <w:rPr/>
      </w:pPr>
      <w:r>
        <w:rPr/>
        <w:t>$357 million to small commercial customers and $360 million to medium-sized commercial and industrial customers, for an allocation of about 18 percent to each of those groups; and</w:t>
      </w:r>
    </w:p>
    <w:p>
      <w:pPr>
        <w:pStyle w:val="Normal"/>
        <w:widowControl w:val="false"/>
        <w:numPr>
          <w:ilvl w:val="0"/>
          <w:numId w:val="2"/>
        </w:numPr>
        <w:spacing w:lineRule="auto" w:line="360"/>
        <w:rPr/>
      </w:pPr>
      <w:r>
        <w:rPr/>
        <w:t>$168 million to the larger industrial customers, or about 9 percent.</w:t>
      </w:r>
    </w:p>
    <w:p>
      <w:pPr>
        <w:pStyle w:val="BodyTextIndent"/>
        <w:widowControl w:val="false"/>
        <w:spacing w:before="0" w:after="0"/>
        <w:ind w:hanging="0" w:end="0"/>
        <w:rPr/>
      </w:pPr>
      <w:r>
        <w:rPr/>
        <w:t xml:space="preserve">Since PG&amp;E proposes that the majority of agricultural customers be merged with the small commercial class, there is no separable identification of this class’s allocation.  The remaining categories of streetlighting, standby, traffic lights, contracts, and large agricultural customers account for about $75 million of the revenue requirement.  ORA’s proposals in this case result in a revenue allocation of 49 percent to the residential class. </w:t>
      </w:r>
    </w:p>
    <w:p>
      <w:pPr>
        <w:pStyle w:val="Normal"/>
        <w:widowControl w:val="false"/>
        <w:spacing w:lineRule="auto" w:line="360"/>
        <w:ind w:hanging="720" w:start="720" w:end="0"/>
        <w:rPr/>
      </w:pPr>
      <w:r>
        <w:rPr>
          <w:b/>
        </w:rPr>
        <w:t>2.2</w:t>
        <w:tab/>
      </w:r>
      <w:r>
        <w:rPr>
          <w:b/>
          <w:u w:val="single"/>
        </w:rPr>
        <w:t>Background and Contexts of PG&amp;E’s Application and the Effects of PX Price Increases on Small Customers.</w:t>
      </w:r>
    </w:p>
    <w:p>
      <w:pPr>
        <w:pStyle w:val="Header"/>
        <w:widowControl w:val="false"/>
        <w:tabs>
          <w:tab w:val="clear" w:pos="4320"/>
          <w:tab w:val="clear" w:pos="8640"/>
        </w:tabs>
        <w:spacing w:lineRule="auto" w:line="360"/>
        <w:rPr/>
      </w:pPr>
      <w:r>
        <w:rPr/>
        <w:tab/>
        <w:t xml:space="preserve">This is the first opportunity for the Commission to systematically review marginal cost, revenue allocation, and rate design for electric distribution revenue requirements and some detailed aspects of pass through of PX prices since the rate unbundling decision of 1996 (D.96-08-056).   However, the unbundling decision did not consider or review separate marginal cost, revenue allocation, and rate design aspects of distribution revenue requirement.   Rather, that decision unbundled cost elements already established by previous decisions to enable bills to be unbundled and CTC headroom to be tracked.  Therefore, the Commission’s decision in this proceeding is to be considered one of first impression.  </w:t>
      </w:r>
    </w:p>
    <w:p>
      <w:pPr>
        <w:pStyle w:val="Header"/>
        <w:widowControl w:val="false"/>
        <w:tabs>
          <w:tab w:val="clear" w:pos="4320"/>
          <w:tab w:val="clear" w:pos="8640"/>
        </w:tabs>
        <w:spacing w:lineRule="auto" w:line="360"/>
        <w:ind w:firstLine="720" w:end="0"/>
        <w:rPr/>
      </w:pPr>
      <w:r>
        <w:rPr/>
        <w:t>This review is occurring after PX prices have risen to extraordinary levels during the early summer of 2000.  From average prices for PG&amp;E during 1999 of 3 cents/kWh the pass through cost of the commodity has risen to average 6 cents/kWh to date in 2000.  Furthermore, SCE has been reported as forecasting a commodity cost of 6 cents/kWh for the year 2001. Of course, PG&amp;E customers have generally</w:t>
      </w:r>
      <w:r>
        <w:rPr>
          <w:rStyle w:val="FootnoteCharacters"/>
          <w:rStyle w:val="FootnoteReference"/>
        </w:rPr>
        <w:footnoteReference w:id="3"/>
      </w:r>
      <w:r>
        <w:rPr/>
        <w:t xml:space="preserve"> yet to experience these price impacts due to the rate freeze.  While the ISO has instituted a price cap of $250/Mwh for the price it will pay for the real-time and ancillary services markets, ORA notes that this price is still 25 cents/kWh, which is considerably above historical averages.  ORA anticipates that the Commission, PG&amp;E, the other state-jurisdictional Utility Distribution Companies, the Federal Energy Regulatory Commission (FERC), and many other parties will be examining in this, and other proceedings, ways in which to mitigate high bill impacts after the rate freeze ends.  </w:t>
      </w:r>
    </w:p>
    <w:p>
      <w:pPr>
        <w:pStyle w:val="Header"/>
        <w:widowControl w:val="false"/>
        <w:tabs>
          <w:tab w:val="clear" w:pos="4320"/>
          <w:tab w:val="clear" w:pos="8640"/>
        </w:tabs>
        <w:spacing w:lineRule="auto" w:line="360"/>
        <w:ind w:firstLine="720" w:end="0"/>
        <w:rPr/>
      </w:pPr>
      <w:r>
        <w:rPr/>
        <w:t xml:space="preserve">ORA believes that negative or precipitous price impacts from commodity purchases cannot be realistically dealt with via </w:t>
      </w:r>
      <w:r>
        <w:rPr>
          <w:u w:val="single"/>
        </w:rPr>
        <w:t xml:space="preserve">radical </w:t>
      </w:r>
      <w:r>
        <w:rPr/>
        <w:t xml:space="preserve">changes in the allocation of electric </w:t>
      </w:r>
      <w:r>
        <w:rPr>
          <w:u w:val="single"/>
        </w:rPr>
        <w:t>distribution</w:t>
      </w:r>
      <w:r>
        <w:rPr/>
        <w:t xml:space="preserve"> revenues.  But they can be mitigated by various policies relating to both real-time metering and residential rate design.  However, ORA also believes that several PG&amp;E marginal cost proposals in this case do result in a greater allocation of distribution revenues to small customers than is justifiable.  Not only are these PG&amp;E proposals dubious on methodological grounds, but they will also result in higher bills for small customers for electric distribution at the very instant that these customers will potentially be exposed to much higher commodity prices through the deregulated market.  For perspective, a 3.5-cents/kWh-post rate freeze average commodity price actually wipes out PG&amp;E’s estimated decrease for residential customers.  Commission rejection of these PG&amp;E proposals will at least somewhat diminish the impact of high post-rate-freeze bills for small customers.</w:t>
      </w:r>
    </w:p>
    <w:p>
      <w:pPr>
        <w:pStyle w:val="Header"/>
        <w:widowControl w:val="false"/>
        <w:tabs>
          <w:tab w:val="clear" w:pos="4320"/>
          <w:tab w:val="clear" w:pos="8640"/>
        </w:tabs>
        <w:spacing w:lineRule="auto" w:line="360"/>
        <w:rPr/>
      </w:pPr>
      <w:r>
        <w:rPr/>
        <w:t>2.2.1</w:t>
        <w:tab/>
      </w:r>
      <w:r>
        <w:rPr>
          <w:u w:val="single"/>
        </w:rPr>
        <w:t>Effects of Distribution Rate Increases on Small Customers</w:t>
      </w:r>
    </w:p>
    <w:p>
      <w:pPr>
        <w:pStyle w:val="Header"/>
        <w:widowControl w:val="false"/>
        <w:tabs>
          <w:tab w:val="clear" w:pos="4320"/>
          <w:tab w:val="clear" w:pos="8640"/>
        </w:tabs>
        <w:spacing w:lineRule="auto" w:line="360"/>
        <w:ind w:firstLine="720" w:end="0"/>
        <w:rPr/>
      </w:pPr>
      <w:r>
        <w:rPr/>
        <w:t xml:space="preserve">The Commission’s review also occurs in the context of the recent PG&amp;E GRC Phase 1 decision by the Commission, and the expectations underlying that decision.  PG&amp;E defended its requested rate increase by saying that the increase will still permit a decrease in residential rates.  During the final arguments leading up to D.00-02-046, the CEO of PG&amp;E, argued against adoption of the PD of ALJ Wetzell, which “only” granted PG&amp;E a revenue requirement increase of about $200 million.  He claimed that, even if the Commission granted </w:t>
      </w:r>
      <w:r>
        <w:rPr>
          <w:u w:val="single"/>
        </w:rPr>
        <w:t>all</w:t>
      </w:r>
      <w:r>
        <w:rPr/>
        <w:t xml:space="preserve"> of PG&amp;E’s electric distribution rate increase, “small customers are still expected to see another 10 percent reduction when the rate freeze ends” (D.00-02-046, Nov. 30, 1999, Tr. Vol. 51, pp. 6378-79).  In fact, PG&amp;E’s initial base case filed in March of 1999 actually portrays a 13.13 percent reduction in “rates” for residential customers.  This decrease, however, seems to be evaporating because, in the March 2000 Update, PG&amp;E requests only a 3 percent decrease for residential customers.  This update reflects the fact that PG&amp;E did not receive all of its requested 35 percent increase in the electric distribution revenue requirement. This should have had the effect of decreasing rates in phase 2 relative to PG&amp;E’s March 1999 showing, which had assumed that phase 1 would grant its entire requested increase. As noted above, this “decrease,” based on a forecast of a 3.0 cents/kWh PX price, will not occur if PG&amp;E’s wholesale commodity purchase price increases above 3.5 cents/kWh. </w:t>
      </w:r>
    </w:p>
    <w:p>
      <w:pPr>
        <w:pStyle w:val="Header"/>
        <w:widowControl w:val="false"/>
        <w:tabs>
          <w:tab w:val="clear" w:pos="4320"/>
          <w:tab w:val="clear" w:pos="8640"/>
        </w:tabs>
        <w:spacing w:lineRule="auto" w:line="360"/>
        <w:ind w:firstLine="720" w:end="0"/>
        <w:rPr/>
      </w:pPr>
      <w:r>
        <w:rPr/>
        <w:t xml:space="preserve">Furthermore, ORA notes that PG&amp;E, in responding to the Phase 1 decision, claimed that the need for increased distribution costs was to meet the increased reliability needs of Silicon Valley business and also agricultural customers.  (D.00-02-046, Nov. 30, 1999, Tr. Vol. 51, pp. 6375-76). However, in this filing PG&amp;E has made alterations in marginal cost conceptualization which results in shifts of distribution costs to residential customers, who have fewer competitive choices, which if exercised, would decrease PG&amp;E’s distribution revenues.  PG&amp;E has also clearly developed a consolidation proposal to shield many agricultural customers from paying a proper share of distribution costs. It is perhaps understandable that a risk-averse business would prefer guaranteed revenue recovery, particularly in volatile times, but virtually captive residential ratepayers ultimately pay for such a guarantee. </w:t>
      </w:r>
    </w:p>
    <w:p>
      <w:pPr>
        <w:pStyle w:val="Header"/>
        <w:widowControl w:val="false"/>
        <w:tabs>
          <w:tab w:val="clear" w:pos="4320"/>
          <w:tab w:val="clear" w:pos="8640"/>
        </w:tabs>
        <w:spacing w:lineRule="auto" w:line="360"/>
        <w:ind w:firstLine="720" w:end="0"/>
        <w:rPr/>
      </w:pPr>
      <w:r>
        <w:rPr/>
        <w:t xml:space="preserve">ORA also notes PG&amp;E’s categorization of other cases potentially impacting the post rate freeze revenue requirement or pass through.  We particularly note the 2001 Cost of Capital and 2001 Attrition proceedings as potentially increasing the distribution revenue requirement, and therefore the unwarranted bill impacts upon smaller customers if the Commission should adopt PG&amp;E’s marginal cost and revenue allocation proposals.  It is also possible, depending upon the timing of the end of the rate freeze, that the Commission will already have issued a decision in the </w:t>
      </w:r>
      <w:r>
        <w:rPr>
          <w:i/>
        </w:rPr>
        <w:t>next</w:t>
      </w:r>
      <w:r>
        <w:rPr/>
        <w:t xml:space="preserve"> PG&amp;E GRC – creating, we expect, a further change in the distribution revenue requirement. Indeed, this Test Year 1999 GRC Phase 2 may not even apply to rates during the period the GRC covers, 1999-2001, if the rate freeze expires at the end of 2001 or March 31, 2002.  These rate increases combined with PG&amp;E’s approach of assigning as many costs as possible to residential customers may create problems for the Commission in the future.</w:t>
      </w:r>
    </w:p>
    <w:p>
      <w:pPr>
        <w:pStyle w:val="Header"/>
        <w:widowControl w:val="false"/>
        <w:tabs>
          <w:tab w:val="clear" w:pos="4320"/>
          <w:tab w:val="clear" w:pos="8640"/>
        </w:tabs>
        <w:spacing w:lineRule="auto" w:line="360"/>
        <w:rPr/>
      </w:pPr>
      <w:r>
        <w:rPr/>
        <w:t>2.2.2</w:t>
        <w:tab/>
      </w:r>
      <w:r>
        <w:rPr>
          <w:u w:val="single"/>
        </w:rPr>
        <w:t>Methodological Uniformity</w:t>
      </w:r>
    </w:p>
    <w:p>
      <w:pPr>
        <w:pStyle w:val="Header"/>
        <w:widowControl w:val="false"/>
        <w:tabs>
          <w:tab w:val="clear" w:pos="4320"/>
          <w:tab w:val="clear" w:pos="8640"/>
        </w:tabs>
        <w:spacing w:lineRule="auto" w:line="360"/>
        <w:ind w:firstLine="720" w:end="0"/>
        <w:rPr/>
      </w:pPr>
      <w:r>
        <w:rPr/>
        <w:t>ORA also anticipates that the Independent System Operator (ISO), on October 31, 2000, will file for locational pricing of ancillary service and real-time energy markets. If the ISO proposal is accepted by the Federal Energy Regulatory Commission (FERC), PG&amp;E’s purchases from the ISO of capacity and energy for its bundled customers will be clearly distinguishable by seven locations.  Currently, PG&amp;E’s commodity rates make no geographic distinctions (subject to the load profile of the particular customer class or rate schedule).  However, creation by the ISO of different zones will clearly establish a different commodity cost for PG&amp;E by a particular zone.  ORA anticipates that PG&amp;E and the Commission will then face the decision of whether and/or how to pass through these differences in zonal prices by deaveraging commodity prices for PG&amp;E’s bundled customers.</w:t>
      </w:r>
      <w:r>
        <w:rPr>
          <w:rStyle w:val="FootnoteCharacters"/>
          <w:rStyle w:val="FootnoteReference"/>
        </w:rPr>
        <w:footnoteReference w:id="4"/>
      </w:r>
    </w:p>
    <w:p>
      <w:pPr>
        <w:pStyle w:val="Header"/>
        <w:widowControl w:val="false"/>
        <w:tabs>
          <w:tab w:val="clear" w:pos="4320"/>
          <w:tab w:val="clear" w:pos="8640"/>
        </w:tabs>
        <w:spacing w:lineRule="auto" w:line="360"/>
        <w:ind w:firstLine="720" w:end="0"/>
        <w:rPr/>
      </w:pPr>
      <w:r>
        <w:rPr/>
        <w:t xml:space="preserve">This case also presents the Commission with the continuing issue of the degree to which there should be conformity of methodology and approach across the different electric utilities.  Since many Electric Service Providers (“ESPs”) operate in all three major electric utility service territories, a degree of standardization of approach to marginal cost, revenue allocation, and rate design will, presumably, decrease the complexity and thus transaction costs faced by ESPs competing to provide commodity and metering services.  Furthermore, those seeking to introduce distributed generation services across the state could face, under the different proposals of PG&amp;E and SCE, methodologically very different cost comparisons.  While PG&amp;E’s approach may be termed the more traditional of the two, the SCE approach, which proposes substantial fixed charges to collect what it terms “grid infrastructure costs,” is a marked departure from traditional approaches.  </w:t>
      </w:r>
    </w:p>
    <w:p>
      <w:pPr>
        <w:pStyle w:val="Header"/>
        <w:widowControl w:val="false"/>
        <w:tabs>
          <w:tab w:val="clear" w:pos="4320"/>
          <w:tab w:val="clear" w:pos="8640"/>
        </w:tabs>
        <w:spacing w:lineRule="auto" w:line="360"/>
        <w:rPr/>
      </w:pPr>
      <w:r>
        <w:rPr/>
        <w:t>2.2.2</w:t>
        <w:tab/>
      </w:r>
      <w:r>
        <w:rPr>
          <w:u w:val="single"/>
        </w:rPr>
        <w:t>Other issues</w:t>
      </w:r>
    </w:p>
    <w:p>
      <w:pPr>
        <w:pStyle w:val="Header"/>
        <w:widowControl w:val="false"/>
        <w:tabs>
          <w:tab w:val="clear" w:pos="4320"/>
          <w:tab w:val="clear" w:pos="8640"/>
        </w:tabs>
        <w:spacing w:lineRule="auto" w:line="360"/>
        <w:ind w:firstLine="720" w:end="0"/>
        <w:rPr/>
      </w:pPr>
      <w:r>
        <w:rPr/>
        <w:t>Finally, PG&amp;E presented in its August 7, 2000 update a case coordination update.  ORA agrees in general with PG&amp;E’s listing and categorization of the issues related to case coordination.  However, ORA believes that any litigation necessary regarding the 100 hours methodology to allocate post rate freeze transition costs (from D. 00-06-034) is most appropriately discussed in this case.</w:t>
      </w:r>
      <w:r>
        <w:rPr>
          <w:rStyle w:val="FootnoteCharacters"/>
          <w:rStyle w:val="FootnoteReference"/>
        </w:rPr>
        <w:footnoteReference w:id="5"/>
      </w:r>
      <w:r>
        <w:rPr/>
        <w:t xml:space="preserve">  While PG&amp;E characterizes its updated filing on the 100 hours methodology as a “compliance” filing, ORA believes that some parties may disagree with PG&amp;E’s interpretation of the Commission’s decision – hence the “compliance” aspect of the filing itself may become a matter of dispute.</w:t>
      </w:r>
    </w:p>
    <w:p>
      <w:pPr>
        <w:pStyle w:val="Header"/>
        <w:widowControl w:val="false"/>
        <w:tabs>
          <w:tab w:val="clear" w:pos="4320"/>
          <w:tab w:val="clear" w:pos="8640"/>
        </w:tabs>
        <w:spacing w:lineRule="auto" w:line="360"/>
        <w:ind w:firstLine="720" w:end="0"/>
        <w:rPr/>
      </w:pPr>
      <w:r>
        <w:rPr/>
        <w:t xml:space="preserve">PG&amp;E also appears to believe that, while matters involving procurement of energy are not at issue in this case, this case should “coordinate” with future proceedings involving procurement.  But this proceeding can and should deal with how procurement costs are passed through to customers.  In Chapter 5, ORA witness Troid Edwards discusses the implications of adopting a potentially much larger cents/kWh differential between residential baseline and non-baseline generation prices as well as proposals regarding a ceiling on the commodity price for medical baseline. </w:t>
      </w:r>
    </w:p>
    <w:p>
      <w:pPr>
        <w:pStyle w:val="Normal"/>
        <w:widowControl w:val="false"/>
        <w:spacing w:lineRule="auto" w:line="360"/>
        <w:rPr/>
      </w:pPr>
      <w:r>
        <w:rPr>
          <w:b/>
        </w:rPr>
        <w:t>2.3</w:t>
        <w:tab/>
      </w:r>
      <w:r>
        <w:rPr>
          <w:b/>
          <w:u w:val="single"/>
        </w:rPr>
        <w:t>Marginal Cost Analysis</w:t>
      </w:r>
    </w:p>
    <w:p>
      <w:pPr>
        <w:pStyle w:val="Normal"/>
        <w:widowControl w:val="false"/>
        <w:spacing w:lineRule="auto" w:line="360"/>
        <w:ind w:firstLine="720" w:end="0"/>
        <w:rPr/>
      </w:pPr>
      <w:r>
        <w:rPr/>
        <w:t>ORA agrees with PG&amp;E that a rate design starting from a foundation of marginal cost analysis will provide “an economically efficient, equitable, and practical means of allocating of allocating revenue and designing rates.” (PG&amp;E Marginal Cost Update p. 1-1).  ORA also agrees with PG&amp;E’s argument, stemming from its concerns about uneconomic bypass, that “it is vitally important that these rates continue to be set according to sound economic principles.” (Ibid., p.1-2).  PG&amp;E also continues to argue that area-specific marginal costs are the most appropriate level of analysis.  While ORA agrees with the intention of providing the most accurate marginal cost data within the limits of practicality, this approach continues to place a great working burden on ORA.  We find the resulting model too complex and far from user-friendly, and assume other intervenors also face significant burdens bought upon by model complexity.  ORA witness Don Smith elaborates on this point in Appendix B.</w:t>
      </w:r>
    </w:p>
    <w:p>
      <w:pPr>
        <w:pStyle w:val="Header"/>
        <w:widowControl w:val="false"/>
        <w:tabs>
          <w:tab w:val="clear" w:pos="4320"/>
          <w:tab w:val="clear" w:pos="8640"/>
        </w:tabs>
        <w:spacing w:lineRule="auto" w:line="360"/>
        <w:ind w:firstLine="720" w:end="0"/>
        <w:rPr/>
      </w:pPr>
      <w:r>
        <w:rPr/>
        <w:t xml:space="preserve">PG&amp;E highlights two changes to its marginal cost analysis as having particular significance.  First, the incorporation, by order of Commissioner Bilas’ ACR, of the PG&amp;E values for Revenue Cycle Services (RCS) from its September 1999 filing in the RCS proceeding as place-holders in this filing.  ORA has no objection to this approach, and anticipates that the final RCS decision will be issued prior to the Commission decision in the instant proceeding, allowing for an update by PG&amp;E to identify any changes in its RCS values consistent with the RCS decision. </w:t>
      </w:r>
    </w:p>
    <w:p>
      <w:pPr>
        <w:pStyle w:val="Header"/>
        <w:widowControl w:val="false"/>
        <w:tabs>
          <w:tab w:val="clear" w:pos="4320"/>
          <w:tab w:val="clear" w:pos="8640"/>
        </w:tabs>
        <w:spacing w:lineRule="auto" w:line="360"/>
        <w:ind w:firstLine="720" w:end="0"/>
        <w:rPr/>
      </w:pPr>
      <w:r>
        <w:rPr/>
        <w:t>Second, PG&amp;E proposes that certain of its investments in primary distribution previously treated as demand-related be assigned as a customer cost.  ORA disagrees with this proposed change.  Although PG&amp;E argues that this new insight into its marginal cost analysis provides greater accuracy, it also shifts a portion of the distribution revenue requirement to smaller customers who have fewer competitive alternatives to PG&amp;E service, at least in the short-term.  ORA witness Don Smith argues against this proposal in Chapter 3.</w:t>
      </w:r>
    </w:p>
    <w:p>
      <w:pPr>
        <w:pStyle w:val="Header"/>
        <w:widowControl w:val="false"/>
        <w:tabs>
          <w:tab w:val="clear" w:pos="4320"/>
          <w:tab w:val="clear" w:pos="8640"/>
        </w:tabs>
        <w:spacing w:lineRule="auto" w:line="360"/>
        <w:rPr/>
      </w:pPr>
      <w:r>
        <w:rPr>
          <w:b/>
        </w:rPr>
        <w:t>2.4</w:t>
        <w:tab/>
      </w:r>
      <w:r>
        <w:rPr>
          <w:b/>
          <w:u w:val="single"/>
        </w:rPr>
        <w:t>Revenue Allocation</w:t>
      </w:r>
    </w:p>
    <w:p>
      <w:pPr>
        <w:pStyle w:val="Header"/>
        <w:widowControl w:val="false"/>
        <w:tabs>
          <w:tab w:val="clear" w:pos="4320"/>
          <w:tab w:val="clear" w:pos="8640"/>
        </w:tabs>
        <w:spacing w:lineRule="auto" w:line="360"/>
        <w:ind w:firstLine="720" w:end="0"/>
        <w:rPr/>
      </w:pPr>
      <w:r>
        <w:rPr/>
        <w:t xml:space="preserve">Revenue allocation is the process of assigning the revenue requirement to rate classes or rate schedules.  In this proceeding, it is primarily the distribution revenue requirement that is being allocated among classes.  However, ORA also believes the precise allocation of the on-going CTC revenue requirement also should be determined in this proceeding since PG&amp;E has filed its 100 hours methodology in compliance with D.00-06-034 in this proceeding, and not as an advice letter or by other procedural vehicle.  </w:t>
      </w:r>
    </w:p>
    <w:p>
      <w:pPr>
        <w:pStyle w:val="Header"/>
        <w:widowControl w:val="false"/>
        <w:tabs>
          <w:tab w:val="clear" w:pos="4320"/>
          <w:tab w:val="clear" w:pos="8640"/>
        </w:tabs>
        <w:spacing w:lineRule="auto" w:line="360"/>
        <w:ind w:firstLine="720" w:end="0"/>
        <w:rPr/>
      </w:pPr>
      <w:r>
        <w:rPr/>
        <w:t>PG&amp;E presents, in its Revenue Allocation exhibit, an illustration of final rates.  PG&amp;E proposes to use the Equal Percent of Marginal Cost (“EPMC”) method as its mechanism to reconcile marginal costs by class or rate schedule with its distribution revenue requirement.  ORA agrees with this approach to reconciliation and believes that other approaches lack practicality.  PG&amp;E’s Table 2-2 (Update, ibid. p.2-9) shows the impact of PG&amp;E’s approach to marginal cost.  The allocation of the distribution revenue requirement to residential customers increases by more than 3.4 percent, or about $35 million dollars.  For small light and power customers, the resulting allocation is an even larger 16 percent increase.  However, the factors involved in this increase are compounded by PG&amp;E’s proposal to shift a number of small agricultural schedules into the small light and power class.</w:t>
      </w:r>
    </w:p>
    <w:p>
      <w:pPr>
        <w:pStyle w:val="Header"/>
        <w:widowControl w:val="false"/>
        <w:tabs>
          <w:tab w:val="clear" w:pos="4320"/>
          <w:tab w:val="clear" w:pos="8640"/>
        </w:tabs>
        <w:spacing w:lineRule="auto" w:line="360"/>
        <w:ind w:firstLine="720" w:end="0"/>
        <w:rPr/>
      </w:pPr>
      <w:r>
        <w:rPr/>
        <w:t xml:space="preserve">For purposes of comparison with PG&amp;E, ORA first presents its proposed revenue allocation using all of the illustrative revenue and price numbers proposed by PG&amp;E.  This approach serves to demonstrate the impact of the differences between the PG&amp;E and ORA marginal cost approaches.  Unfortunately, however, as mentioned above, PG&amp;E’s proposal to significantly shrink the agricultural class to only large agricultural customers and to eliminate all other agricultural customers confounds this approach.  However, the impact of reinstituting the agricultural class to its separate status is shown in Table Nos. 4-14 and 8-1 of ORA’s testimony. To provide a more realistic context for Commission consideration of PG&amp;E’s proposals, ORA also shows the impact of a 6 cent/kWh and a 10-cent/kWh average commodity price in the post-rate-freeze period. </w:t>
      </w:r>
    </w:p>
    <w:p>
      <w:pPr>
        <w:pStyle w:val="Header"/>
        <w:widowControl w:val="false"/>
        <w:tabs>
          <w:tab w:val="clear" w:pos="4320"/>
          <w:tab w:val="clear" w:pos="8640"/>
        </w:tabs>
        <w:spacing w:lineRule="auto" w:line="360"/>
        <w:ind w:firstLine="720" w:end="0"/>
        <w:rPr/>
      </w:pPr>
      <w:r>
        <w:rPr/>
        <w:t xml:space="preserve">ORA disagrees with PG&amp;E’s proposals to change the agricultural class definition.  Conceptually, PG&amp;E moves from its assertion that “…it is vitally important that these rates continue to be set according to sound economic principles” (ibid. p.1-2) to elimination of the majority of a whole class of customers, where marginal cost data is gathered, and has been for more than 15 years).  The only defense that PG&amp;E offers for this consolidation is that it interprets the Commission as requiring something like its proposal (footnote, p. 1-17) due to the Commission’s concerns about the actual distribution costs that many agricultural customers would face under full EMPC rate-making. </w:t>
      </w:r>
    </w:p>
    <w:p>
      <w:pPr>
        <w:pStyle w:val="Header"/>
        <w:widowControl w:val="false"/>
        <w:tabs>
          <w:tab w:val="clear" w:pos="4320"/>
          <w:tab w:val="clear" w:pos="8640"/>
        </w:tabs>
        <w:spacing w:lineRule="auto" w:line="360"/>
        <w:ind w:firstLine="720" w:end="0"/>
        <w:rPr/>
      </w:pPr>
      <w:r>
        <w:rPr/>
        <w:t>ORA witness Chris Blunt addresses PG&amp;E proposal in more detail.  But to paraphrase that testimony, ORA disagrees with PG&amp;E’s interpretation of D.97-03-017, and PG&amp;E’s lack of imagination regarding alternatives to its proposal.  ORA instead proposes to retain an agricultural class with its current customer composition instead of the drastic shrinkage proposed by PG&amp;E.  However, as the Commission has done in the past, ORA also recognizes that 100 percent EPMC pass-through of distribution rates to agricultural customers would, for some schedules, result in high percentage increases.  Therefore, ORA proposes a 15 percent cap on increases to agricultural distribution rates.</w:t>
      </w:r>
    </w:p>
    <w:p>
      <w:pPr>
        <w:pStyle w:val="Header"/>
        <w:widowControl w:val="false"/>
        <w:tabs>
          <w:tab w:val="clear" w:pos="4320"/>
          <w:tab w:val="clear" w:pos="8640"/>
        </w:tabs>
        <w:spacing w:lineRule="auto" w:line="360"/>
        <w:rPr/>
      </w:pPr>
      <w:r>
        <w:rPr>
          <w:b/>
        </w:rPr>
        <w:t>2.5</w:t>
        <w:tab/>
      </w:r>
      <w:r>
        <w:rPr>
          <w:b/>
          <w:u w:val="single"/>
        </w:rPr>
        <w:t>Rate Design</w:t>
      </w:r>
    </w:p>
    <w:p>
      <w:pPr>
        <w:pStyle w:val="Header"/>
        <w:widowControl w:val="false"/>
        <w:tabs>
          <w:tab w:val="clear" w:pos="4320"/>
          <w:tab w:val="clear" w:pos="8640"/>
        </w:tabs>
        <w:spacing w:lineRule="auto" w:line="360"/>
        <w:rPr/>
      </w:pPr>
      <w:r>
        <w:rPr/>
        <w:t>2.5.1</w:t>
        <w:tab/>
      </w:r>
      <w:r>
        <w:rPr>
          <w:u w:val="single"/>
        </w:rPr>
        <w:t>Background</w:t>
      </w:r>
    </w:p>
    <w:p>
      <w:pPr>
        <w:pStyle w:val="Header"/>
        <w:widowControl w:val="false"/>
        <w:tabs>
          <w:tab w:val="clear" w:pos="4320"/>
          <w:tab w:val="clear" w:pos="8640"/>
        </w:tabs>
        <w:spacing w:lineRule="auto" w:line="360"/>
        <w:ind w:firstLine="720" w:end="0"/>
        <w:rPr/>
      </w:pPr>
      <w:r>
        <w:rPr/>
        <w:t>ORA agrees with PG&amp;E (Phase 2 Rate Design Update, p. 1-2) that, in the first instance, the rate component that needs to be addressed in this proceeding is the distribution rate component.  However, ORA also believes that other rate design matters can and should be considered in this proceeding.  Normally ORA would have made proposals regarding commodity rates in other proceedings and forums.  However, given the current concerns regarding wholesale commodity prices of electricity, ORA makes some non-distribution related rate design proposals and also provides the Commission information on various scenarios of prices in the context of this proceeding.</w:t>
      </w:r>
    </w:p>
    <w:p>
      <w:pPr>
        <w:pStyle w:val="Header"/>
        <w:widowControl w:val="false"/>
        <w:tabs>
          <w:tab w:val="clear" w:pos="4320"/>
          <w:tab w:val="clear" w:pos="8640"/>
        </w:tabs>
        <w:spacing w:lineRule="auto" w:line="360"/>
        <w:rPr>
          <w:b/>
          <w:u w:val="single"/>
        </w:rPr>
      </w:pPr>
      <w:r>
        <w:rPr/>
        <w:t>2.5.2</w:t>
        <w:tab/>
      </w:r>
      <w:r>
        <w:rPr>
          <w:u w:val="single"/>
        </w:rPr>
        <w:t>Distribution</w:t>
      </w:r>
      <w:r>
        <w:rPr>
          <w:b/>
          <w:u w:val="single"/>
        </w:rPr>
        <w:t xml:space="preserve"> </w:t>
      </w:r>
      <w:r>
        <w:rPr>
          <w:u w:val="single"/>
        </w:rPr>
        <w:t>Rates</w:t>
      </w:r>
    </w:p>
    <w:p>
      <w:pPr>
        <w:pStyle w:val="Header"/>
        <w:widowControl w:val="false"/>
        <w:tabs>
          <w:tab w:val="clear" w:pos="4320"/>
          <w:tab w:val="clear" w:pos="8640"/>
        </w:tabs>
        <w:spacing w:lineRule="auto" w:line="360"/>
        <w:ind w:firstLine="720" w:end="0"/>
        <w:rPr/>
      </w:pPr>
      <w:r>
        <w:rPr/>
        <w:t>Distribution rates are designed to recover the revenue distributed to the class or rate schedule in the revenue allocation process.  ORA, of course, agrees with PG&amp;E that, generally or primarily, rate design recommendations should be cost based (p. 2-2).</w:t>
      </w:r>
    </w:p>
    <w:p>
      <w:pPr>
        <w:pStyle w:val="Header"/>
        <w:widowControl w:val="false"/>
        <w:tabs>
          <w:tab w:val="clear" w:pos="4320"/>
          <w:tab w:val="clear" w:pos="8640"/>
        </w:tabs>
        <w:spacing w:lineRule="auto" w:line="360"/>
        <w:ind w:firstLine="720" w:end="0"/>
        <w:rPr/>
      </w:pPr>
      <w:r>
        <w:rPr/>
        <w:t xml:space="preserve">PG&amp;E also is concerned about the proliferation of tariffs and resulting customer confusion, as well as the expectation of a lack of balancing account protection for distribution revenues and other revenues.  These considerations lead PG&amp;E to propose a consolidation and aggregation of agricultural schedules with light and power classifications as well as a reduction of the number of optional TOU and service options for all customer classes.  ORA certainly supports clarity in customer choices, but not at the expense of shifting costs between customer classes.  Hence, ORA opposes any considerations of eliminating agricultural schedules and shifting distribution costs simply due to potential customer confusion. </w:t>
      </w:r>
    </w:p>
    <w:p>
      <w:pPr>
        <w:pStyle w:val="Header"/>
        <w:widowControl w:val="false"/>
        <w:tabs>
          <w:tab w:val="clear" w:pos="4320"/>
          <w:tab w:val="clear" w:pos="8640"/>
        </w:tabs>
        <w:spacing w:lineRule="auto" w:line="360"/>
        <w:ind w:firstLine="720" w:end="0"/>
        <w:rPr/>
      </w:pPr>
      <w:r>
        <w:rPr/>
        <w:t>PG&amp;E, writing in March 2000, anticipated that overall rate reductions expected at the end of the rate freeze would provide unique opportunities to “improve the cost basis” of PG&amp;E’s rates without creating untenable bill impacts (Rate Design Update p. 2-2).  PG&amp;E particularly cites in this context the introduction of a customer charge for residential ratepayers and also seasonally differentiated summer and winter residential distribution rates.  From the perspective of August 2000, however, these “opportunities” at the end of the rate freeze appear to have vanished.  ORA is concerned about the bill and other impacts of the proposed residential customer charge especially in the context of a likely overall rate increase in rates rather than a decrease.</w:t>
      </w:r>
    </w:p>
    <w:p>
      <w:pPr>
        <w:pStyle w:val="Header"/>
        <w:widowControl w:val="false"/>
        <w:tabs>
          <w:tab w:val="clear" w:pos="4320"/>
          <w:tab w:val="clear" w:pos="8640"/>
        </w:tabs>
        <w:spacing w:lineRule="auto" w:line="360"/>
        <w:ind w:firstLine="720" w:end="0"/>
        <w:rPr/>
      </w:pPr>
      <w:r>
        <w:rPr/>
        <w:t xml:space="preserve">In general, PG&amp;E assigns revenue responsibility associated with customer-related costs to PG&amp;E’s proposed basic service charges and demand- related revenue responsibility to class specific combinations of demand and energy charges.  PG&amp;E also proposes, in some instances, to differentiate demand-related costs by season.  But believing that there is no direct link between cost incurrence and time of use at the distribution level, PG&amp;E proposes no differentiation in distribution rates by time of use. </w:t>
      </w:r>
    </w:p>
    <w:p>
      <w:pPr>
        <w:pStyle w:val="Header"/>
        <w:widowControl w:val="false"/>
        <w:tabs>
          <w:tab w:val="clear" w:pos="4320"/>
          <w:tab w:val="clear" w:pos="8640"/>
        </w:tabs>
        <w:spacing w:lineRule="auto" w:line="360"/>
        <w:ind w:firstLine="720" w:end="0"/>
        <w:rPr/>
      </w:pPr>
      <w:r>
        <w:rPr/>
        <w:t xml:space="preserve">ORA disagrees with the specific proposal to introduce a mandatory residential customer charge.  ORA witness Don Smith instead proposes customer choice regarding such a charge (chapter 5).  ORA also disagrees with PG&amp;E’s implicit assertion that there is no value to providing a time of use price signal for distribution services at the system level.  ORA witness Bill Gibson (chapter 6) makes the argument that a time-of-use option for distribution costs (in addition to the seasonal price signal) should at least be an option for smaller customers and should be mandatory for larger customers, all of whom are already on TOU or interval metering. </w:t>
      </w:r>
    </w:p>
    <w:p>
      <w:pPr>
        <w:pStyle w:val="Header"/>
        <w:widowControl w:val="false"/>
        <w:tabs>
          <w:tab w:val="clear" w:pos="4320"/>
          <w:tab w:val="clear" w:pos="8640"/>
        </w:tabs>
        <w:spacing w:lineRule="auto" w:line="360"/>
        <w:rPr>
          <w:b/>
        </w:rPr>
      </w:pPr>
      <w:r>
        <w:rPr/>
        <w:t>2.5.3</w:t>
        <w:tab/>
      </w:r>
      <w:r>
        <w:rPr>
          <w:u w:val="single"/>
        </w:rPr>
        <w:t>Other</w:t>
      </w:r>
      <w:r>
        <w:rPr>
          <w:b/>
          <w:u w:val="single"/>
        </w:rPr>
        <w:t xml:space="preserve"> </w:t>
      </w:r>
      <w:r>
        <w:rPr>
          <w:u w:val="single"/>
        </w:rPr>
        <w:t>Rate</w:t>
      </w:r>
      <w:r>
        <w:rPr>
          <w:b/>
          <w:u w:val="single"/>
        </w:rPr>
        <w:t xml:space="preserve"> </w:t>
      </w:r>
      <w:r>
        <w:rPr>
          <w:u w:val="single"/>
        </w:rPr>
        <w:t>Design</w:t>
      </w:r>
      <w:r>
        <w:rPr>
          <w:b/>
          <w:u w:val="single"/>
        </w:rPr>
        <w:t xml:space="preserve"> </w:t>
      </w:r>
      <w:r>
        <w:rPr>
          <w:u w:val="single"/>
        </w:rPr>
        <w:t>Issues</w:t>
      </w:r>
    </w:p>
    <w:p>
      <w:pPr>
        <w:pStyle w:val="Header"/>
        <w:widowControl w:val="false"/>
        <w:tabs>
          <w:tab w:val="clear" w:pos="4320"/>
          <w:tab w:val="clear" w:pos="8640"/>
        </w:tabs>
        <w:spacing w:lineRule="auto" w:line="360"/>
        <w:rPr/>
      </w:pPr>
      <w:r>
        <w:rPr/>
        <w:tab/>
        <w:t xml:space="preserve">PG&amp;E proposes that customers below 500kW in load have three commodity pricing options: an hourly pricing option, a TOU option, and a non-TOU option.  Decision 00-06-034 actually requires all customers with interval meters to be billed on an hourly basis.  Therefore, TOU pricing is no longer an option for above 500kW customers.  For the remaining customer classes, ORA believes every major rate schedule should have a TOU option which incorporates not only TOU for energy rates but also TOU for distribution rates (whether in a demand charge or an energy rate).  For customers without a TOU meter (the majority of small customers), ORA agrees with PG&amp;E’s proposal for seasonally differentiated distribution rates.  PG&amp;E proposes that the TOU periods for energy rates continue with current definitions (Rate Design Update 2-12).  However PG&amp;E is in the process of providing ORA with data on average PX and ISO purchases made by PG&amp;E on an hourly basis since the inception of electric restructuring.  ORA is in the process of analyzing this data and will make recommendations regarding TOU periods in rebuttal testimony as appropriate. </w:t>
      </w:r>
    </w:p>
    <w:p>
      <w:pPr>
        <w:pStyle w:val="Header"/>
        <w:widowControl w:val="false"/>
        <w:tabs>
          <w:tab w:val="clear" w:pos="4320"/>
          <w:tab w:val="clear" w:pos="8640"/>
        </w:tabs>
        <w:spacing w:lineRule="auto" w:line="360"/>
        <w:ind w:firstLine="720" w:end="0"/>
        <w:rPr/>
      </w:pPr>
      <w:r>
        <w:rPr/>
        <w:t xml:space="preserve">ORA also provides the Commission with proposals regarding residential commodity rate design for medical purposes as well as illustrations of the impact of changing the relationship between baseline and non-baseline commodity rates in Chapter 5, sponsored by ORA witness Troid Edwards. </w:t>
      </w:r>
    </w:p>
    <w:p>
      <w:pPr>
        <w:pStyle w:val="Header"/>
        <w:widowControl w:val="false"/>
        <w:tabs>
          <w:tab w:val="clear" w:pos="4320"/>
          <w:tab w:val="clear" w:pos="8640"/>
        </w:tabs>
        <w:spacing w:lineRule="auto" w:line="360"/>
        <w:ind w:firstLine="720" w:end="0"/>
        <w:rPr/>
      </w:pPr>
      <w:r>
        <w:rPr/>
        <w:t xml:space="preserve">Finally, while the Commission has ruled that on-going CTC must be allocated according the 100 hours methodology, the question of seasonal rate design for this rate component has not been addressed.  ORA proposes that this rate component be set at zero during the summer period when PX prices could be expected to be higher than on-going payments for QFs and other PG&amp;E generation, and that the entire amount of the allocation be collected during the winter period. This seasonal allocation should result in a decrease in the impact of higher overall rates and prices during the summer. </w:t>
      </w:r>
    </w:p>
    <w:p>
      <w:pPr>
        <w:sectPr>
          <w:footerReference w:type="default" r:id="rId6"/>
          <w:footerReference w:type="first" r:id="rId7"/>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rPr/>
      </w:pPr>
      <w:r>
        <w:rPr/>
      </w:r>
    </w:p>
    <w:p>
      <w:pPr>
        <w:pStyle w:val="Table"/>
        <w:spacing w:lineRule="auto" w:line="360"/>
        <w:jc w:val="center"/>
        <w:rPr>
          <w:b/>
          <w:sz w:val="28"/>
        </w:rPr>
      </w:pPr>
      <w:r>
        <w:rPr>
          <w:b/>
          <w:sz w:val="28"/>
        </w:rPr>
        <w:t>CHAPTER 3</w:t>
      </w:r>
    </w:p>
    <w:p>
      <w:pPr>
        <w:pStyle w:val="BodyText3"/>
        <w:rPr>
          <w:u w:val="single"/>
        </w:rPr>
      </w:pPr>
      <w:r>
        <w:rPr>
          <w:u w:val="single"/>
        </w:rPr>
        <w:t>MARGINAL COSTS</w:t>
      </w:r>
    </w:p>
    <w:p>
      <w:pPr>
        <w:pStyle w:val="BodyText3"/>
        <w:rPr>
          <w:u w:val="single"/>
        </w:rPr>
      </w:pPr>
      <w:r>
        <w:rPr>
          <w:u w:val="single"/>
        </w:rPr>
      </w:r>
    </w:p>
    <w:p>
      <w:pPr>
        <w:pStyle w:val="Heading4"/>
        <w:widowControl/>
        <w:spacing w:lineRule="auto" w:line="240"/>
        <w:ind w:hanging="0" w:start="0"/>
        <w:rPr>
          <w:sz w:val="24"/>
        </w:rPr>
      </w:pPr>
      <w:r>
        <w:rPr>
          <w:sz w:val="24"/>
        </w:rPr>
        <w:t>Witness:  Donald R. Smith</w:t>
      </w:r>
    </w:p>
    <w:p>
      <w:pPr>
        <w:pStyle w:val="BodyText3"/>
        <w:rPr>
          <w:sz w:val="24"/>
        </w:rPr>
      </w:pPr>
      <w:r>
        <w:rPr>
          <w:sz w:val="24"/>
        </w:rPr>
      </w:r>
    </w:p>
    <w:p>
      <w:pPr>
        <w:pStyle w:val="Heading"/>
        <w:numPr>
          <w:ilvl w:val="1"/>
          <w:numId w:val="19"/>
        </w:numPr>
        <w:spacing w:lineRule="auto" w:line="360"/>
        <w:jc w:val="start"/>
        <w:rPr>
          <w:u w:val="single"/>
        </w:rPr>
      </w:pPr>
      <w:r>
        <w:rPr>
          <w:u w:val="single"/>
        </w:rPr>
        <w:t>Introduction and Overview</w:t>
      </w:r>
    </w:p>
    <w:p>
      <w:pPr>
        <w:pStyle w:val="BodyTextIndent"/>
        <w:spacing w:before="0" w:after="0"/>
        <w:rPr/>
      </w:pPr>
      <w:r>
        <w:rPr/>
        <w:t>In Phase 1 of this proceeding, the Commission established the annual revenue requirement for PG&amp;E to distribute electric energy of $2,070,500,000.  In Phase 2 of this proceeding, the rates PG&amp;E may charge electric customers to meet this revenue requirement are determined.</w:t>
      </w:r>
    </w:p>
    <w:p>
      <w:pPr>
        <w:pStyle w:val="BodyTextIndent"/>
        <w:spacing w:before="0" w:after="0"/>
        <w:rPr/>
      </w:pPr>
      <w:r>
        <w:rPr/>
        <w:t>PG&amp;E proposes to use the equal percentage of marginal cost (“EPMC”) method with the “New Customer Only” (“NCO”) method of determining customer access marginal costs, along with some changes from earlier methods.  ORA has the following concerns about PG&amp;E’s approach:</w:t>
      </w:r>
    </w:p>
    <w:p>
      <w:pPr>
        <w:pStyle w:val="Normal"/>
        <w:numPr>
          <w:ilvl w:val="0"/>
          <w:numId w:val="32"/>
        </w:numPr>
        <w:spacing w:lineRule="auto" w:line="360"/>
        <w:ind w:hanging="540" w:start="720" w:end="0"/>
        <w:rPr/>
      </w:pPr>
      <w:r>
        <w:rPr/>
        <w:t>ORA opposes PG&amp;E’s proposed extension of the customer share of the cost allocation “upstream” from the final line transformer.</w:t>
      </w:r>
    </w:p>
    <w:p>
      <w:pPr>
        <w:pStyle w:val="Normal"/>
        <w:numPr>
          <w:ilvl w:val="0"/>
          <w:numId w:val="32"/>
        </w:numPr>
        <w:spacing w:lineRule="auto" w:line="360"/>
        <w:ind w:hanging="540" w:start="720" w:end="0"/>
        <w:rPr/>
      </w:pPr>
      <w:r>
        <w:rPr/>
        <w:t xml:space="preserve">ORA proposes an addition of a “distribution replacement cost adder” to the distribution costs.  </w:t>
      </w:r>
    </w:p>
    <w:p>
      <w:pPr>
        <w:pStyle w:val="Normal"/>
        <w:numPr>
          <w:ilvl w:val="0"/>
          <w:numId w:val="32"/>
        </w:numPr>
        <w:spacing w:lineRule="auto" w:line="360"/>
        <w:ind w:hanging="540" w:start="720" w:end="0"/>
        <w:rPr/>
      </w:pPr>
      <w:r>
        <w:rPr/>
        <w:t>ORA questions the accuracy of the PG&amp;E data for the number of new customers in the small commercial class.</w:t>
      </w:r>
    </w:p>
    <w:p>
      <w:pPr>
        <w:pStyle w:val="Normal"/>
        <w:numPr>
          <w:ilvl w:val="0"/>
          <w:numId w:val="32"/>
        </w:numPr>
        <w:spacing w:lineRule="auto" w:line="360"/>
        <w:ind w:hanging="540" w:start="720" w:end="0"/>
        <w:rPr/>
      </w:pPr>
      <w:r>
        <w:rPr/>
        <w:t>ORA challenges the method used to finalize the “typical” new customer cost.</w:t>
      </w:r>
    </w:p>
    <w:p>
      <w:pPr>
        <w:pStyle w:val="BodyTextIndent"/>
        <w:spacing w:before="0" w:after="0"/>
        <w:rPr/>
      </w:pPr>
      <w:r>
        <w:rPr/>
        <w:t xml:space="preserve">ORA accepts PG&amp;E’s approach using the basic EPMC with NCO method with changes based on the above concerns.  But later in Section 3.2.5, ORA proposes an alternative marginal cost based rate allocation system, based on returning to the earlier practice of using “demand only” marginal costs.  PG&amp;E’s marginal cost and revenue allocation approach leads to 53 percent of total distribution revenues being allocated to residential customers, compared to ORA’s 49 percent under its primary recommendation and 44 percent under its alternate recommendation. </w:t>
      </w:r>
    </w:p>
    <w:p>
      <w:pPr>
        <w:pStyle w:val="BodyTextIndent"/>
        <w:spacing w:before="0" w:after="0"/>
        <w:rPr/>
      </w:pPr>
      <w:r>
        <w:rPr/>
      </w:r>
    </w:p>
    <w:p>
      <w:pPr>
        <w:pStyle w:val="BodyTextIndent"/>
        <w:spacing w:before="0" w:after="0"/>
        <w:rPr/>
      </w:pPr>
      <w:r>
        <w:rPr/>
      </w:r>
    </w:p>
    <w:p>
      <w:pPr>
        <w:pStyle w:val="BodyTextIndent"/>
        <w:spacing w:before="0" w:after="0"/>
        <w:ind w:hanging="0" w:end="0"/>
        <w:rPr>
          <w:b/>
        </w:rPr>
      </w:pPr>
      <w:r>
        <w:rPr>
          <w:b/>
        </w:rPr>
        <w:t>3.2</w:t>
        <w:tab/>
      </w:r>
      <w:r>
        <w:rPr>
          <w:b/>
          <w:u w:val="single"/>
        </w:rPr>
        <w:t xml:space="preserve">Specific Proposals of ORA </w:t>
      </w:r>
    </w:p>
    <w:p>
      <w:pPr>
        <w:pStyle w:val="Heading2"/>
        <w:spacing w:lineRule="auto" w:line="360" w:before="0" w:after="0"/>
        <w:ind w:hanging="720" w:start="720" w:end="0"/>
        <w:jc w:val="start"/>
        <w:rPr>
          <w:rFonts w:ascii="Times New Roman" w:hAnsi="Times New Roman" w:cs="Times New Roman"/>
          <w:b w:val="false"/>
        </w:rPr>
      </w:pPr>
      <w:r>
        <w:rPr>
          <w:rFonts w:cs="Times New Roman" w:ascii="Times New Roman" w:hAnsi="Times New Roman"/>
          <w:b w:val="false"/>
        </w:rPr>
        <w:t>3.2.1</w:t>
        <w:tab/>
      </w:r>
      <w:r>
        <w:rPr>
          <w:rFonts w:cs="Times New Roman" w:ascii="Times New Roman" w:hAnsi="Times New Roman"/>
          <w:b w:val="false"/>
          <w:u w:val="single"/>
        </w:rPr>
        <w:t>ORA Opposes PG&amp;E’s Proposed Shift of New Business Primary Distribution Installation Costs to the Customer Access Marginal Costs</w:t>
      </w:r>
    </w:p>
    <w:p>
      <w:pPr>
        <w:pStyle w:val="Normal"/>
        <w:spacing w:lineRule="auto" w:line="360"/>
        <w:ind w:firstLine="720" w:end="0"/>
        <w:rPr/>
      </w:pPr>
      <w:r>
        <w:rPr/>
        <w:t xml:space="preserve">Numerous basic approaches to theory and practice make a huge range of equally defensible rate schedules obtainable:  </w:t>
      </w:r>
    </w:p>
    <w:p>
      <w:pPr>
        <w:pStyle w:val="Normal"/>
        <w:ind w:start="1440" w:end="2160"/>
        <w:rPr/>
      </w:pPr>
      <w:r>
        <w:rPr/>
        <w:t>“…</w:t>
      </w:r>
      <w:r>
        <w:rPr/>
        <w:t>no single costing methodology will be superior to any other…Individual costing methodologies are complex and have inspired numerous debates and application, assumptions and data.  Further, the role of cost in ratemaking is not without controversy.”</w:t>
      </w:r>
      <w:r>
        <w:rPr>
          <w:rStyle w:val="FootnoteCharacters"/>
          <w:rStyle w:val="FootnoteReference"/>
        </w:rPr>
        <w:footnoteReference w:id="6"/>
      </w:r>
    </w:p>
    <w:p>
      <w:pPr>
        <w:pStyle w:val="Normal"/>
        <w:ind w:start="1440" w:end="2160"/>
        <w:rPr/>
      </w:pPr>
      <w:r>
        <w:rPr/>
      </w:r>
    </w:p>
    <w:p>
      <w:pPr>
        <w:pStyle w:val="Normal"/>
        <w:spacing w:lineRule="auto" w:line="360"/>
        <w:rPr/>
      </w:pPr>
      <w:r>
        <w:rPr/>
        <w:t xml:space="preserve">Perhaps no-where is the debate more vigorous than in the question of determining what distribution system costs are caused by changes in demand, and which are caused by changes in the number of customers.  Recognizing this problem, the Commission adopted a system several years ago, which defines a bright line between demand-related and customer-related costs at the final line transformer.  </w:t>
      </w:r>
    </w:p>
    <w:p>
      <w:pPr>
        <w:pStyle w:val="Normal"/>
        <w:spacing w:lineRule="auto" w:line="360"/>
        <w:ind w:firstLine="720" w:end="0"/>
        <w:rPr/>
      </w:pPr>
      <w:r>
        <w:rPr/>
        <w:t>In this present system, only those costs for the Transformer, Service drop (wires from the transformer to the customers building), and the Meter (“TSM”) are assigned to individual customers for the class division of marginal costs.  As PG&amp;E admits in its testimony, stating “The Commission has defined customer access facilities as consisting of final line transformers and those portions of the secondary distribution on the customer side of the final line transformer.”</w:t>
      </w:r>
      <w:r>
        <w:rPr>
          <w:rStyle w:val="FootnoteCharacters"/>
          <w:rStyle w:val="FootnoteReference"/>
        </w:rPr>
        <w:footnoteReference w:id="7"/>
      </w:r>
      <w:r>
        <w:rPr/>
        <w:t xml:space="preserve">  PG&amp;E also acknowledges that, in its 1990 GRC, the Commission “established the final line transformer as the boundary between customer access and distribution facilities.”</w:t>
      </w:r>
      <w:r>
        <w:rPr>
          <w:rStyle w:val="FootnoteCharacters"/>
          <w:rStyle w:val="FootnoteReference"/>
        </w:rPr>
        <w:footnoteReference w:id="8"/>
      </w:r>
      <w:r>
        <w:rPr/>
        <w:t xml:space="preserve">  However in this proceeding PG&amp;E proposes to extend the boundary between customer access and demand-related distribution systems to include new business primary installation costs.</w:t>
      </w:r>
      <w:r>
        <w:rPr>
          <w:rStyle w:val="FootnoteCharacters"/>
          <w:rStyle w:val="FootnoteReference"/>
        </w:rPr>
        <w:footnoteReference w:id="9"/>
      </w:r>
      <w:r>
        <w:rPr/>
        <w:t xml:space="preserve">   As the Company’s testimony states, “PG&amp;E proposes to retain the final line transformer as the boundary between customer access facilities while, at the same time, to treat new-customer related distribution extensions as a marginal cost of hooking up new customers.  In accordance with cost causation”</w:t>
      </w:r>
      <w:r>
        <w:rPr>
          <w:rStyle w:val="FootnoteCharacters"/>
          <w:rStyle w:val="FootnoteReference"/>
        </w:rPr>
        <w:footnoteReference w:id="10"/>
      </w:r>
      <w:r>
        <w:rPr/>
        <w:t xml:space="preserve">.  What is a “new customer related distribution extension”?  If it includes the primary distribution system, why are they saying they are retaining the final line transformer as the boundary?  ORA believes that PG&amp;E’s positions are inconsistent, and that the present TSM method is the better way to make the division in the light of existing policy. </w:t>
      </w:r>
    </w:p>
    <w:p>
      <w:pPr>
        <w:pStyle w:val="Normal"/>
        <w:tabs>
          <w:tab w:val="clear" w:pos="720"/>
          <w:tab w:val="left" w:pos="6480" w:leader="none"/>
          <w:tab w:val="left" w:pos="8910" w:leader="none"/>
        </w:tabs>
        <w:spacing w:lineRule="auto" w:line="360"/>
        <w:ind w:firstLine="720" w:end="-648"/>
        <w:rPr/>
      </w:pPr>
      <w:r>
        <w:rPr/>
        <w:t>The effects of this change are found from executing toggle 1 of the Integrated Rate Model (“IRM”).  This toggle was originally added to the PG&amp;E IRM at ORA’s request.  When first installed, this option did not include the latest Commission decision on Line Extension Rules.</w:t>
      </w:r>
      <w:r>
        <w:rPr>
          <w:rStyle w:val="FootnoteCharacters"/>
          <w:rStyle w:val="FootnoteReference"/>
        </w:rPr>
        <w:footnoteReference w:id="11"/>
      </w:r>
      <w:r>
        <w:rPr/>
        <w:t xml:space="preserve">  PG&amp;E later added a second setting for this toggle that is consistent with the latest Commission policy.  </w:t>
      </w:r>
    </w:p>
    <w:p>
      <w:pPr>
        <w:pStyle w:val="BodyText"/>
        <w:spacing w:before="0" w:after="0"/>
        <w:rPr/>
      </w:pPr>
      <w:r>
        <w:rPr/>
        <w:t>The PG&amp;E suggested departure from the current TSM method shifts a large portion of the revenue requirement from larger customers to residential [$62 million] and small commercial customers [$7 million].</w:t>
      </w:r>
    </w:p>
    <w:p>
      <w:pPr>
        <w:pStyle w:val="Normal"/>
        <w:spacing w:lineRule="auto" w:line="360"/>
        <w:ind w:firstLine="720" w:end="0"/>
        <w:rPr/>
      </w:pPr>
      <w:r>
        <w:rPr/>
        <w:t>The service and meter are definitely not shared by several customers, whereas everything up the line is.  Transformers are uniquely dedicated to individual customers for most customers larger than residential.  The Commission has concluded that TSM is the brightest line to draw between customer and demand.  TSM is a good compromise.  Thus ORA opposes PG&amp;E’s proposed change.</w:t>
      </w:r>
    </w:p>
    <w:p>
      <w:pPr>
        <w:pStyle w:val="Heading2"/>
        <w:spacing w:lineRule="auto" w:line="360" w:before="0" w:after="0"/>
        <w:ind w:hanging="0" w:start="0"/>
        <w:jc w:val="start"/>
        <w:rPr>
          <w:rFonts w:ascii="Times New Roman" w:hAnsi="Times New Roman" w:cs="Times New Roman"/>
          <w:b w:val="false"/>
        </w:rPr>
      </w:pPr>
      <w:r>
        <w:rPr>
          <w:rFonts w:cs="Times New Roman" w:ascii="Times New Roman" w:hAnsi="Times New Roman"/>
          <w:b w:val="false"/>
        </w:rPr>
        <w:t>3.2.2</w:t>
        <w:tab/>
      </w:r>
      <w:r>
        <w:rPr>
          <w:rFonts w:cs="Times New Roman" w:ascii="Times New Roman" w:hAnsi="Times New Roman"/>
          <w:b w:val="false"/>
          <w:u w:val="single"/>
        </w:rPr>
        <w:t>ORA Proposes a Distribution Replacement Cost Adder</w:t>
      </w:r>
    </w:p>
    <w:p>
      <w:pPr>
        <w:pStyle w:val="BodyText"/>
        <w:spacing w:before="0" w:after="0"/>
        <w:rPr/>
      </w:pPr>
      <w:r>
        <w:rPr/>
        <w:t xml:space="preserve">In PG&amp;E’s method of calculating marginal costs, there are two major elements: the demand-related costs and the customer-related costs.  The “demand” related part of the costs reflects the costs of load growth on the secondary and primary distribution systems.  Ongoing costs of maintaining the system, such as replacements of parts of the system that have reached the end of their economic life, are not included in this element.  These “demand related” costs are designed to reflect the costs to the system of adding new capacity to serve new load caused by the addition of new customers and increased use per customer. </w:t>
      </w:r>
    </w:p>
    <w:p>
      <w:pPr>
        <w:pStyle w:val="BodyText"/>
        <w:spacing w:before="0" w:after="0"/>
        <w:rPr/>
      </w:pPr>
      <w:r>
        <w:rPr/>
        <w:t>The other element of the marginal costs is the customer-related costs.  Unlike demand related costs, customer costs are composed of two parts in the NCO methodology: the new customer costs (costs of hooking up new customers to the system) and “ongoing customer costs” (the costs of maintaining the system).  It is inconsistent to consider as a marginal cost the replacement costs of those elements of the system that are assigned to specific customers and thus to customer classes, while costs of replacements of the rest of the shared distribution system are not considered.</w:t>
      </w:r>
    </w:p>
    <w:p>
      <w:pPr>
        <w:pStyle w:val="Normal"/>
        <w:tabs>
          <w:tab w:val="clear" w:pos="720"/>
          <w:tab w:val="left" w:pos="6480" w:leader="none"/>
          <w:tab w:val="left" w:pos="8910" w:leader="none"/>
        </w:tabs>
        <w:spacing w:lineRule="auto" w:line="360"/>
        <w:ind w:firstLine="720" w:end="-648"/>
        <w:rPr/>
      </w:pPr>
      <w:r>
        <w:rPr/>
        <w:t>To correct this inconsistency, ORA suggests a modification to MC calculations based on a decision in a natural gas case.</w:t>
      </w:r>
      <w:r>
        <w:rPr>
          <w:rStyle w:val="FootnoteCharacters"/>
          <w:rStyle w:val="FootnoteReference"/>
        </w:rPr>
        <w:footnoteReference w:id="12"/>
      </w:r>
      <w:r>
        <w:rPr/>
        <w:t>Which adopts a “replacement cost adder” to demand costs to so that both demand-related and customer-related costs will both reflect replacement costs.  This replacement cost adder has been added to the IRM by PG&amp;E at our request.  We argue that the demand part of the marginal costs should be increased by a factor of 1.22 to reflect replacement costs and to assure consistency with the calculation of customer related costs.</w:t>
      </w:r>
    </w:p>
    <w:p>
      <w:pPr>
        <w:pStyle w:val="Heading2"/>
        <w:spacing w:lineRule="auto" w:line="360" w:before="0" w:after="0"/>
        <w:ind w:hanging="720" w:start="720" w:end="0"/>
        <w:jc w:val="start"/>
        <w:rPr>
          <w:rFonts w:ascii="Times New Roman" w:hAnsi="Times New Roman" w:cs="Times New Roman"/>
          <w:b w:val="false"/>
        </w:rPr>
      </w:pPr>
      <w:r>
        <w:rPr>
          <w:rFonts w:cs="Times New Roman" w:ascii="Times New Roman" w:hAnsi="Times New Roman"/>
          <w:b w:val="false"/>
        </w:rPr>
        <w:t>3.2.3</w:t>
        <w:tab/>
      </w:r>
      <w:r>
        <w:rPr>
          <w:rFonts w:cs="Times New Roman" w:ascii="Times New Roman" w:hAnsi="Times New Roman"/>
          <w:b w:val="false"/>
          <w:u w:val="single"/>
        </w:rPr>
        <w:t>ORA Challenges the New Business 3-year Recorded Growth Numbers for the Small Commercial Class</w:t>
      </w:r>
    </w:p>
    <w:p>
      <w:pPr>
        <w:pStyle w:val="BodyTextIndent"/>
        <w:spacing w:before="0" w:after="0"/>
        <w:rPr/>
      </w:pPr>
      <w:r>
        <w:rPr/>
        <w:t>PG&amp;E uses estimates for class growth to calculate part of the NCO cost.  The new customer cost numbers used for the small commercial class seem to be inordinately high with a relative growth rate several times as high as the residential class.  Yet, PG&amp;E data seem to indicate that there are about two-thirds as many “new businesses” opening in the PG&amp;E territory as there are new homes being built.  Thus, we suspect that either each time a business changes hands, it is being counted as a “new business”, which is not the way any other class is handled, or the data is simply incorrect.  Formal and informal requests to PG&amp;E to explain this anomaly have not resulted in a defense of the high commercial class growth rates.  We propose that small commercial new business growth rate be based on the new residential customer growth rate. (This is controlled by toggle 9 of the IRM).  ORA has used a 1.0 percent growth rate for this class, which is over twice the residential class growth rate.  This results in a significant reduction in the small commercial rates</w:t>
      </w:r>
    </w:p>
    <w:p>
      <w:pPr>
        <w:pStyle w:val="BodyTextIndent"/>
        <w:spacing w:before="0" w:after="0"/>
        <w:ind w:hanging="720" w:start="720" w:end="0"/>
        <w:rPr/>
      </w:pPr>
      <w:r>
        <w:rPr/>
        <w:t>3.2.4</w:t>
        <w:tab/>
      </w:r>
      <w:r>
        <w:rPr>
          <w:u w:val="single"/>
        </w:rPr>
        <w:t>ORA Challenges the Method of Finding the Cost of New Residential Customers Using a “Typical Customer” for Each of Four Areas</w:t>
      </w:r>
    </w:p>
    <w:p>
      <w:pPr>
        <w:pStyle w:val="BodyText"/>
        <w:spacing w:before="0" w:after="0"/>
        <w:rPr/>
      </w:pPr>
      <w:r>
        <w:rPr/>
        <w:t xml:space="preserve">The PG&amp;E marginal cost method estimates the cost of hooking up a new customer by using their COMPRESS computer program.  For each of the four areas, a “typical new residential customer” hookup cost is calculated using the average number of houses per transformer, average length of wire used, and other factors.  Then for each area, a cost is found.  There are basic problems with this method.  How can one typical case reflect the distribution of different projects?  Why not use actual total costs from each area, or the whole territory to derive this number?  PG&amp;E says it does not have the data to do this.  </w:t>
      </w:r>
    </w:p>
    <w:p>
      <w:pPr>
        <w:pStyle w:val="BodyText"/>
        <w:spacing w:before="0" w:after="0"/>
        <w:rPr/>
      </w:pPr>
      <w:r>
        <w:rPr/>
        <w:t xml:space="preserve">This “typical example” approach is clearly misleading in the northern area.  The typical new customer is relatively expensive to hook up in this area because of the low residential density.  The “typical” or average case actually costs more than the $1313 line extension limit.  So this figure, $1313/customer is used.  However, the real costs will be lower.  Since no customer can cost more than $1313, and some will cost less, the average cost will have to be under $1313, not $1313.  This is a case where greater geographic separation of costs may be resulting in lower, not higher, accuracy.   It would be more accurate to use actual costs to hook-up recent customers.  Or, if a PG&amp;E model is used to project the future, it should reflect recent actual costs of TSM.  And of course, they should use the costs incurred by PG&amp;E after the customer maximum outlay of $1313. </w:t>
      </w:r>
    </w:p>
    <w:p>
      <w:pPr>
        <w:pStyle w:val="BodyTextIndent"/>
        <w:spacing w:before="0" w:after="0"/>
        <w:ind w:hanging="0" w:end="0"/>
        <w:rPr/>
      </w:pPr>
      <w:r>
        <w:rPr/>
        <w:t>3.2.5</w:t>
        <w:tab/>
      </w:r>
      <w:r>
        <w:rPr>
          <w:u w:val="single"/>
        </w:rPr>
        <w:t>ORA Alternate Proposal, EPMC based on “Demand Only”</w:t>
      </w:r>
    </w:p>
    <w:p>
      <w:pPr>
        <w:pStyle w:val="BodyTextIndent"/>
        <w:spacing w:before="0" w:after="0"/>
        <w:rPr/>
      </w:pPr>
      <w:r>
        <w:rPr/>
        <w:t>Marginal Cost Based Rate Class Revenue Allocation was introduced in 1980 during an energy crisis.</w:t>
      </w:r>
      <w:r>
        <w:rPr>
          <w:rStyle w:val="FootnoteCharacters"/>
          <w:rStyle w:val="FootnoteReference"/>
        </w:rPr>
        <w:footnoteReference w:id="13"/>
      </w:r>
      <w:r>
        <w:rPr/>
        <w:t xml:space="preserve">  At that time, the “marginal costs” used were based only on the energy and demand costs, that is, on the costs clearly dependent on energy usage.  Customer access costs were not included in the revenue allocation.  This policy was intended to promote reduced energy use and energy efficiency.  It had the effect, compared to the previous total system or embedded cost class allocation system, of shifting load to large customers, who had and still have a greater ability to manage energy use than small customers. Residential customers, except the few with time of use (“TOU”) metering, do not have the means of shifting their loads in response to prices when the system is near maximum capacity.  Larger users, which are now almost all on TOU metering, have the ability to respond far more accurately and quickly to the present energy cost crisis in California. </w:t>
      </w:r>
    </w:p>
    <w:p>
      <w:pPr>
        <w:pStyle w:val="BodyTextIndent"/>
        <w:spacing w:before="0" w:after="0"/>
        <w:rPr/>
      </w:pPr>
      <w:r>
        <w:rPr/>
        <w:t>Because California is again facing supply shortages, ORA alternatively proposes to the Commission that it consider a reversion to the far simpler EPMC method that excludes customer costs.  Applied to the current case, this would mean allocating the distribution revenue requirement based on demand costs only since the energy portion of rates is now market-based.</w:t>
      </w:r>
      <w:r>
        <w:rPr>
          <w:rStyle w:val="FootnoteCharacters"/>
          <w:rStyle w:val="FootnoteReference"/>
        </w:rPr>
        <w:footnoteReference w:id="14"/>
      </w:r>
      <w:r>
        <w:rPr/>
        <w:t xml:space="preserve">  This would reduce the allocation of the total revenue requirement to residential customers from 53 percent under the PG&amp;E proposal to about 44 percent.</w:t>
      </w:r>
      <w:r>
        <w:rPr>
          <w:rStyle w:val="FootnoteCharacters"/>
          <w:rStyle w:val="FootnoteReference"/>
        </w:rPr>
        <w:footnoteReference w:id="15"/>
      </w:r>
      <w:r>
        <w:rPr/>
        <w:t xml:space="preserve">  It would also reduce the small commercial allocation from 18 percent to 12 percent.  Should rate rollbacks for small customers similar to those recently adopted for SDG&amp;E customers be required for PG&amp;E after PG&amp;E’s rate freeze is over, this approach would reduce any undercollection caused by retail rates being lower than wholesale rates.  This alternative can be argued to be less cost-based than the current method, which includes customer access costs in the revenue allocation, but could be adopted as a policy until wholesale pricing achieves the lower levels which electric restructuring was initially envisioned to produce.  It would also give the Commission more time to sort out the tremendous difficulties in calculating customer access costs using PG&amp;E’s models.  ORA would not recommend this as a permanent policy since doing so would tend to promote, in the longer run, uneconomic bypass of PG&amp;E’s system by the larger customers.</w:t>
      </w:r>
    </w:p>
    <w:p>
      <w:pPr>
        <w:pStyle w:val="Normal"/>
        <w:tabs>
          <w:tab w:val="clear" w:pos="720"/>
          <w:tab w:val="left" w:pos="6480" w:leader="none"/>
          <w:tab w:val="left" w:pos="8910" w:leader="none"/>
        </w:tabs>
        <w:spacing w:lineRule="auto" w:line="360"/>
        <w:ind w:hanging="720" w:start="720" w:end="-648"/>
        <w:rPr>
          <w:b/>
        </w:rPr>
      </w:pPr>
      <w:r>
        <w:rPr>
          <w:b/>
        </w:rPr>
        <w:t>3.3</w:t>
        <w:tab/>
      </w:r>
      <w:r>
        <w:rPr>
          <w:b/>
          <w:u w:val="single"/>
        </w:rPr>
        <w:t>Recommendations</w:t>
      </w:r>
    </w:p>
    <w:p>
      <w:pPr>
        <w:sectPr>
          <w:footerReference w:type="default" r:id="rId8"/>
          <w:footerReference w:type="first" r:id="rId9"/>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BodyText"/>
        <w:rPr/>
      </w:pPr>
      <w:r>
        <w:rPr/>
        <w:t>Most of PG&amp;E’s proposals increase relative rates for residential and small commercial customers (“captive” customers), and/or reduce the absolute marginal cost value (of value to PG&amp;E in bidding down to MC for large customers threatening to leave the system).  ORA’s primary proposals accept the basic EPMC with NCO method proposed by PG&amp;E but retain the present “bright line” of the final transformer between demand related and customer related costs, apply a distribution cost adder to make treatment of demand and customer costs consistent, and attempt to use a more accurate estimate for the number of new small commercial customers.  ORA’s alternate proposal uses demand related costs only in allocating distribution revenue to customer classes, which is both far simpler and more equitable than the PG&amp;E proposed method.</w:t>
      </w:r>
    </w:p>
    <w:p>
      <w:pPr>
        <w:pStyle w:val="Heading9"/>
        <w:ind w:hanging="0" w:start="0"/>
        <w:rPr>
          <w:u w:val="none"/>
        </w:rPr>
      </w:pPr>
      <w:r>
        <w:rPr>
          <w:u w:val="none"/>
        </w:rPr>
        <w:t>CHAPTER 4</w:t>
      </w:r>
    </w:p>
    <w:p>
      <w:pPr>
        <w:pStyle w:val="Heading9"/>
        <w:ind w:hanging="0" w:start="0"/>
        <w:rPr/>
      </w:pPr>
      <w:r>
        <w:rPr/>
        <w:t>REVENUE ALLOCATION</w:t>
      </w:r>
    </w:p>
    <w:p>
      <w:pPr>
        <w:pStyle w:val="Normal"/>
        <w:rPr/>
      </w:pPr>
      <w:r>
        <w:rPr/>
      </w:r>
    </w:p>
    <w:p>
      <w:pPr>
        <w:pStyle w:val="Normal"/>
        <w:spacing w:lineRule="auto" w:line="360"/>
        <w:jc w:val="center"/>
        <w:rPr>
          <w:b/>
        </w:rPr>
      </w:pPr>
      <w:r>
        <w:rPr>
          <w:b/>
        </w:rPr>
        <w:t>Witness: Scarlett C. Liang-Uejio</w:t>
      </w:r>
    </w:p>
    <w:p>
      <w:pPr>
        <w:pStyle w:val="Normal"/>
        <w:spacing w:lineRule="auto" w:line="360"/>
        <w:jc w:val="center"/>
        <w:rPr>
          <w:b/>
        </w:rPr>
      </w:pPr>
      <w:r>
        <w:rPr>
          <w:b/>
        </w:rPr>
      </w:r>
    </w:p>
    <w:p>
      <w:pPr>
        <w:pStyle w:val="BodyTextIndent"/>
        <w:spacing w:before="0" w:after="0"/>
        <w:ind w:hanging="0" w:end="0"/>
        <w:jc w:val="both"/>
        <w:rPr>
          <w:b/>
        </w:rPr>
      </w:pPr>
      <w:r>
        <w:rPr>
          <w:b/>
        </w:rPr>
        <w:t>4.1</w:t>
        <w:tab/>
      </w:r>
      <w:r>
        <w:rPr>
          <w:b/>
          <w:u w:val="single"/>
        </w:rPr>
        <w:t>Introduction and Overview</w:t>
      </w:r>
    </w:p>
    <w:p>
      <w:pPr>
        <w:pStyle w:val="BodyTextIndent"/>
        <w:spacing w:before="0" w:after="0"/>
        <w:rPr/>
      </w:pPr>
      <w:r>
        <w:rPr/>
        <w:t>This chapter presents ORA’s analysis and recommendations regarding PG&amp;E’s revenue allocation proposals in Exhibit No. (“Exh”) PG&amp;E-3 entitled “Revenue Allocation Consolidated”, and Exh. PG&amp;E-4 entitled “Rate Design Consolidated”.</w:t>
      </w:r>
      <w:r>
        <w:rPr>
          <w:b/>
          <w:vertAlign w:val="superscript"/>
        </w:rPr>
        <w:t xml:space="preserve"> </w:t>
      </w:r>
      <w:r>
        <w:rPr>
          <w:rStyle w:val="FootnoteReference"/>
          <w:b/>
          <w:vertAlign w:val="superscript"/>
        </w:rPr>
        <w:footnoteReference w:id="16"/>
      </w:r>
      <w:r>
        <w:rPr/>
        <w:t xml:space="preserve">  This chapter addresses PG&amp;E’s full EPMC allocation for distribution revenue.  Table No. 4-1 summarizes PG&amp;E’s current and proposed class definitions in comparison to ORA’s proposed class definitions.  Table 4-2 is a list of allocation methodology for each function.  Table 4-3 summarizes ORA’s illustrative functional revenue allocation and average rates.</w:t>
      </w:r>
    </w:p>
    <w:p>
      <w:pPr>
        <w:pStyle w:val="BodyTextIndent"/>
        <w:spacing w:before="0" w:after="0"/>
        <w:rPr/>
      </w:pPr>
      <w:r>
        <w:rPr/>
        <w:t xml:space="preserve">PG&amp;E presented two major proposals on revenue allocation for distribution and class definition: </w:t>
      </w:r>
    </w:p>
    <w:p>
      <w:pPr>
        <w:pStyle w:val="BodyTextIndent"/>
        <w:numPr>
          <w:ilvl w:val="0"/>
          <w:numId w:val="16"/>
        </w:numPr>
        <w:spacing w:before="0" w:after="0"/>
        <w:rPr/>
      </w:pPr>
      <w:r>
        <w:rPr/>
        <w:t>Full Equal Percent of Marginal Costs (“EPMC”) allocation for distribution revenue requirement based on demand-related and customer marginal costs.</w:t>
      </w:r>
    </w:p>
    <w:p>
      <w:pPr>
        <w:pStyle w:val="BodyTextIndent"/>
        <w:numPr>
          <w:ilvl w:val="0"/>
          <w:numId w:val="16"/>
        </w:numPr>
        <w:spacing w:before="0" w:after="0"/>
        <w:rPr/>
      </w:pPr>
      <w:r>
        <w:rPr/>
        <w:t>Class consolidation.  PG&amp;E proposes to consolidate various rate schedules into a single rate schedule within each class (“intra-class consolidation”), as well as into different classes (“inter-class consolidation”).  The inter-class consolidation affects small and medium agricultural customers and E-19V.</w:t>
      </w:r>
    </w:p>
    <w:p>
      <w:pPr>
        <w:pStyle w:val="BodyTextIndent"/>
        <w:spacing w:before="0" w:after="0"/>
        <w:rPr/>
      </w:pPr>
      <w:r>
        <w:rPr/>
        <w:t xml:space="preserve">PG&amp;E proposes to implement the top 100 hours allocation methodology adopted in Decision No. (D.) 00-06-034 in the Phase II Post Transition Ratemaking (PTR II) proceeding for post-freeze ongoing transition cost (“CTC”).  PG&amp;E also proposed to transfer the nonfirm discounts from the ongoing CTC function to the distribution function as adopted in D.00-06-034.  In Exh. PG&amp;E-3, PG&amp;E proposes to allocate the nonfirm discounts based on System Average Percent (“SAP”).  PG&amp;E presents illustrative allocation for California Alternative Rates for Energy (“CARE”) and Non-CARE Public Purpose Program (“PPP”) costs based on an equal cents/kWh, and Nuclear Decommissioning (“ND”) costs based on SAP as adopted in D.00-06-034.  </w:t>
      </w:r>
    </w:p>
    <w:p>
      <w:pPr>
        <w:pStyle w:val="BodyTextIndent"/>
        <w:spacing w:before="0" w:after="0"/>
        <w:rPr/>
      </w:pPr>
      <w:r>
        <w:rPr/>
        <w:t>In Exh. PG&amp;E-3, PG&amp;E presents illustrative total revenue allocation.  As stated in an Assigned Commissioner’s Ruling (“ACR”) dated November 15, 1999, “(p)resenting total cost revenue allocation numbers (and total bill impacts) will allow a complete comparison of pre- and post-transition rates.”  This chapter addresses PG&amp;E’s illustrative total revenue allocation and provides ORA’s illustrative numbers.</w:t>
      </w:r>
    </w:p>
    <w:p>
      <w:pPr>
        <w:pStyle w:val="BodyTextIndent"/>
        <w:spacing w:before="0" w:after="0"/>
        <w:rPr/>
      </w:pPr>
      <w:r>
        <w:rPr/>
        <w:t xml:space="preserve">ORA uses full demand-related and customer EPMC for distribution revenue allocation.  However, as discussed in Chapter 3, ORA recommends different methodologies to calculate demand-related and customer marginal costs for each customer class.  As discussed in Chapter Nos. 5 through 8, ORA objects to PG&amp;E’s class consolidation proposal and recommends maintaining the current class definitions with few exceptions.  Applying full EPMC factors would cause an increase in distribution rates in some cases, e.g., small and medium agricultural customers.  In order to implement the full EPMC methodology, and at the same time alleviate the significant rate increase for those customers, e.g., small and medium agricultural classes, ORA recommends a 15 percent cap on distribution rates.  The Commission has historically adopted capped EPMC.  ORA believes this will optimize full EPMC while minimizing the impacts on other classes. </w:t>
      </w:r>
    </w:p>
    <w:p>
      <w:pPr>
        <w:pStyle w:val="BodyTextIndent"/>
        <w:spacing w:before="0" w:after="0"/>
        <w:rPr/>
      </w:pPr>
      <w:r>
        <w:rPr/>
        <w:t>ORA agrees that PG&amp;E’s use of its 1998 and 1999 top 100 hour load data to develop the CTC allocation factor is consistent with D.00-06-034.  However, ORA objects to PG&amp;E’s scaling of 1999 top 100-hour recorded loads to the 1999 Test Year sales forecast.  PG&amp;E’s scaling of the recorded data to the same year forecast is not logical.  However, ORA does not object to the scaling of 1999 load data to future years, e.g., Test Year 2000 or 2001 when new sales forecasts are available prior to the end of the rate freeze.  Therefore, to preserve the scaling mechanism and for illustrative purposes, ORA did not change PG&amp;E’s CTC allocation.</w:t>
      </w:r>
    </w:p>
    <w:p>
      <w:pPr>
        <w:pStyle w:val="BodyTextIndent"/>
        <w:spacing w:before="0" w:after="0"/>
        <w:rPr/>
      </w:pPr>
      <w:r>
        <w:rPr/>
        <w:t>ORA believes transferring the nonfirm discounts from the ongoing CTC to the distribution function is consistent with D.00-06-034.  ORA agrees with PG&amp;E to allocate the nonfirm discounts on a SAP basis instead on full EPMC.  ORA believes PG&amp;E’s illustrative allocation for PPP and ND costs is consistent with the methodology adopted in D.00-06-034.</w:t>
      </w:r>
    </w:p>
    <w:p>
      <w:pPr>
        <w:pStyle w:val="Heading2"/>
        <w:spacing w:lineRule="auto" w:line="360" w:before="0" w:after="0"/>
        <w:ind w:hanging="0" w:start="0"/>
        <w:jc w:val="start"/>
        <w:rPr>
          <w:rFonts w:ascii="Times New Roman" w:hAnsi="Times New Roman" w:cs="Times New Roman"/>
        </w:rPr>
      </w:pPr>
      <w:r>
        <w:rPr>
          <w:rFonts w:cs="Times New Roman" w:ascii="Times New Roman" w:hAnsi="Times New Roman"/>
        </w:rPr>
        <w:t>4.2</w:t>
        <w:tab/>
      </w:r>
      <w:r>
        <w:rPr>
          <w:rFonts w:cs="Times New Roman" w:ascii="Times New Roman" w:hAnsi="Times New Roman"/>
          <w:u w:val="single"/>
        </w:rPr>
        <w:t>Revenue Requirement</w:t>
      </w:r>
    </w:p>
    <w:p>
      <w:pPr>
        <w:pStyle w:val="BodyTextIndent"/>
        <w:spacing w:before="0" w:after="0"/>
        <w:rPr/>
      </w:pPr>
      <w:r>
        <w:rPr/>
        <w:t>The first step in revenue allocation is to establish the revenue requirement.  As stated in the June 9, 1999 Scoping Memo and November 15, 1999 ACR, the revenue requirement for all functional accounts is not part of this proceeding.  In other words, the functional revenue requirement for PG&amp;E will be established in other CPUC proceedings.  Therefore, in this proceeding, PG&amp;E only presents an illustrative revenue requirement for each function.  For comparative purposes, PG&amp;E’s filing presents illustrative post-freeze total rates and percent changes from its June 10, 1996 frozen rates.  On page 1-5 of Exh. PG&amp;E-3, PG&amp;E shows its adopted and illustrative revenue requirement.  Since the functional revenue requirement is not being determined in this proceeding, ORA is curious as to whether PG&amp;E’s estimates of its illustrative revenue requirement are realistic, and recommends using actual numbers from other revenue requirement proceedings, if available, prior to a final decision in this proceeding.</w:t>
      </w:r>
    </w:p>
    <w:p>
      <w:pPr>
        <w:pStyle w:val="BodyTextIndent"/>
        <w:spacing w:before="0" w:after="0"/>
        <w:rPr/>
      </w:pPr>
      <w:r>
        <w:rPr/>
        <w:t>Section Nos. 4.2.1 through 4.2.9 discuss ORA’s analysis of each illustrative functional revenue requirement presented by PG&amp;E.  In order to allow the Commission and parties to easily compare the overall differences between ORA’s and PG&amp;E’s marginal costs, distribution allocation, and class definitions, ORA has included an analysis of total illustrative rates based on PG&amp;E’s functional revenue requirements as ORA’s base case.</w:t>
      </w:r>
    </w:p>
    <w:p>
      <w:pPr>
        <w:pStyle w:val="Heading2"/>
        <w:spacing w:lineRule="auto" w:line="360" w:before="0" w:after="0"/>
        <w:ind w:hanging="0" w:start="0"/>
        <w:jc w:val="start"/>
        <w:rPr>
          <w:rFonts w:ascii="Times New Roman" w:hAnsi="Times New Roman" w:cs="Times New Roman"/>
          <w:b w:val="false"/>
        </w:rPr>
      </w:pPr>
      <w:r>
        <w:rPr>
          <w:rFonts w:cs="Times New Roman" w:ascii="Times New Roman" w:hAnsi="Times New Roman"/>
          <w:b w:val="false"/>
        </w:rPr>
        <w:t>4.2.1</w:t>
        <w:tab/>
      </w:r>
      <w:r>
        <w:rPr>
          <w:rFonts w:cs="Times New Roman" w:ascii="Times New Roman" w:hAnsi="Times New Roman"/>
          <w:b w:val="false"/>
          <w:u w:val="single"/>
        </w:rPr>
        <w:t>Distribution Revenue Requirement</w:t>
      </w:r>
    </w:p>
    <w:p>
      <w:pPr>
        <w:pStyle w:val="BodyTextIndent"/>
        <w:spacing w:before="0" w:after="0"/>
        <w:rPr/>
      </w:pPr>
      <w:r>
        <w:rPr/>
        <w:t>PG&amp;E derived its 1999 distribution revenue requirement from D.00-02-046 (1999 GRC, Phase I), Appendix B, Page B-3.</w:t>
      </w:r>
      <w:r>
        <w:rPr>
          <w:rStyle w:val="FootnoteCharacters"/>
          <w:rStyle w:val="FootnoteReference"/>
          <w:b/>
        </w:rPr>
        <w:footnoteReference w:id="17"/>
      </w:r>
      <w:r>
        <w:rPr/>
        <w:t xml:space="preserve">  In Exh. PG&amp;E-7, PG&amp;E presents a consolidated showing, which calculates the distribution revenue requirement using inputs to the revenue allocation model.</w:t>
      </w:r>
      <w:r>
        <w:rPr>
          <w:rStyle w:val="FootnoteCharacters"/>
          <w:rStyle w:val="FootnoteReference"/>
          <w:b/>
        </w:rPr>
        <w:footnoteReference w:id="18"/>
      </w:r>
      <w:r>
        <w:rPr/>
        <w:t xml:space="preserve">  ORA notes that PG&amp;E’s 1999-distribution revenue requirement is for Test Year 1999 only, and therefore, does not accurately reflect the potential increases for 2001.  For example, PG&amp;E has requested a distribution rate increase in the 2001 Costs of Capital proceeding.  In addition, there will be attrition adjustments in 2001.  ORA recognizes that a final decision in the above mentioned proceedings may or may not be decided prior to a final decision in this proceeding.  </w:t>
      </w:r>
    </w:p>
    <w:p>
      <w:pPr>
        <w:pStyle w:val="BodyTextIndent"/>
        <w:spacing w:before="0" w:after="0"/>
        <w:rPr/>
      </w:pPr>
      <w:r>
        <w:rPr/>
        <w:t>To evaluate any post-freeze rate impact from 2001 or later, ORA recommends, for illustrative purpose, that the Commission in this proceeding require PG&amp;E to provide an updated showing with updated estimates of any potential increase in the distribution revenue requirement.  It is likely that at the close of this proceeding decisions in other pertinent ratesetting proceedings will still be open, so it is likely that PG&amp;E’s estimated total post-freeze rates are understated, therefore, ORA recommends that the final decision in this proceeding reflect accurate estimates.</w:t>
      </w:r>
    </w:p>
    <w:p>
      <w:pPr>
        <w:pStyle w:val="Header"/>
        <w:tabs>
          <w:tab w:val="clear" w:pos="4320"/>
          <w:tab w:val="clear" w:pos="8640"/>
        </w:tabs>
        <w:spacing w:lineRule="auto" w:line="360"/>
        <w:rPr/>
      </w:pPr>
      <w:r>
        <w:rPr/>
        <w:t>4.2.2</w:t>
        <w:tab/>
      </w:r>
      <w:r>
        <w:rPr>
          <w:u w:val="single"/>
        </w:rPr>
        <w:t>Non-CARE Public Purpose Program and CARE Revenue Requirement</w:t>
      </w:r>
      <w:r>
        <w:rPr/>
        <w:t xml:space="preserve"> </w:t>
      </w:r>
    </w:p>
    <w:p>
      <w:pPr>
        <w:pStyle w:val="BodyTextIndent"/>
        <w:spacing w:before="0" w:after="0"/>
        <w:rPr/>
      </w:pPr>
      <w:r>
        <w:rPr/>
        <w:t>PG&amp;E’s non-CARE Public Purpose Program (“PPP”) revenue requirement of $203.9 million was calculated incorrectly, which results in an over-collection of about $3.1 million.  This happened because PG&amp;E calculated the non-CARE PPP revenue requirement using the following formula as compared to the formula adopted in D.00-02-046:</w:t>
      </w:r>
    </w:p>
    <w:p>
      <w:pPr>
        <w:pStyle w:val="Header"/>
        <w:tabs>
          <w:tab w:val="clear" w:pos="4320"/>
          <w:tab w:val="clear" w:pos="8640"/>
        </w:tabs>
        <w:spacing w:lineRule="auto" w:line="360"/>
        <w:ind w:firstLine="720" w:end="0"/>
        <w:rPr/>
      </w:pPr>
      <w:r>
        <w:rPr/>
        <w:t>Non-CARE PPP = PPP Total –CARE = $232,192,000 - $28,629,000</w:t>
      </w:r>
    </w:p>
    <w:p>
      <w:pPr>
        <w:pStyle w:val="Header"/>
        <w:tabs>
          <w:tab w:val="clear" w:pos="4320"/>
          <w:tab w:val="clear" w:pos="8640"/>
        </w:tabs>
        <w:spacing w:lineRule="auto" w:line="360"/>
        <w:ind w:firstLine="720" w:end="0"/>
        <w:rPr/>
      </w:pPr>
      <w:r>
        <w:rPr/>
        <w:tab/>
        <w:tab/>
        <w:t xml:space="preserve">   = $203,923,000</w:t>
      </w:r>
    </w:p>
    <w:p>
      <w:pPr>
        <w:pStyle w:val="Header"/>
        <w:tabs>
          <w:tab w:val="clear" w:pos="4320"/>
          <w:tab w:val="clear" w:pos="8640"/>
        </w:tabs>
        <w:spacing w:lineRule="auto" w:line="360"/>
        <w:ind w:firstLine="720" w:end="0"/>
        <w:rPr/>
      </w:pPr>
      <w:r>
        <w:rPr/>
        <w:t xml:space="preserve">Where: </w:t>
      </w:r>
    </w:p>
    <w:p>
      <w:pPr>
        <w:pStyle w:val="Header"/>
        <w:numPr>
          <w:ilvl w:val="0"/>
          <w:numId w:val="7"/>
        </w:numPr>
        <w:tabs>
          <w:tab w:val="clear" w:pos="4320"/>
          <w:tab w:val="clear" w:pos="8640"/>
        </w:tabs>
        <w:spacing w:lineRule="auto" w:line="360"/>
        <w:rPr/>
      </w:pPr>
      <w:r>
        <w:rPr/>
        <w:t>PPP Total was adopted in PG&amp;E’s 1999 GRC I decision (D.00-02-046)</w:t>
      </w:r>
      <w:r>
        <w:rPr>
          <w:rStyle w:val="FootnoteCharacters"/>
          <w:rStyle w:val="FootnoteReference"/>
        </w:rPr>
        <w:footnoteReference w:id="19"/>
      </w:r>
      <w:r>
        <w:rPr/>
        <w:t>.</w:t>
      </w:r>
    </w:p>
    <w:p>
      <w:pPr>
        <w:pStyle w:val="Header"/>
        <w:numPr>
          <w:ilvl w:val="0"/>
          <w:numId w:val="7"/>
        </w:numPr>
        <w:tabs>
          <w:tab w:val="clear" w:pos="4320"/>
          <w:tab w:val="clear" w:pos="8640"/>
        </w:tabs>
        <w:spacing w:lineRule="auto" w:line="360"/>
        <w:rPr/>
      </w:pPr>
      <w:r>
        <w:rPr/>
        <w:t xml:space="preserve">CARE is calculated in the IRM based on </w:t>
      </w:r>
      <w:r>
        <w:rPr>
          <w:u w:val="single"/>
        </w:rPr>
        <w:t>post-freeze</w:t>
      </w:r>
      <w:r>
        <w:rPr/>
        <w:t xml:space="preserve"> CARE discounts</w:t>
      </w:r>
      <w:r>
        <w:rPr>
          <w:rStyle w:val="FootnoteCharacters"/>
          <w:rStyle w:val="FootnoteReference"/>
        </w:rPr>
        <w:footnoteReference w:id="20"/>
      </w:r>
      <w:r>
        <w:rPr/>
        <w:t xml:space="preserve">. </w:t>
      </w:r>
    </w:p>
    <w:p>
      <w:pPr>
        <w:pStyle w:val="BodyTextIndent"/>
        <w:spacing w:before="0" w:after="0"/>
        <w:ind w:hanging="0" w:start="720" w:end="0"/>
        <w:rPr/>
      </w:pPr>
      <w:r>
        <w:rPr/>
        <w:t>However, D.00-02-046 decision adopted the PPP total revenue requirement using the following formula:</w:t>
      </w:r>
    </w:p>
    <w:p>
      <w:pPr>
        <w:pStyle w:val="Header"/>
        <w:tabs>
          <w:tab w:val="clear" w:pos="4320"/>
          <w:tab w:val="clear" w:pos="8640"/>
          <w:tab w:val="left" w:pos="1800" w:leader="none"/>
        </w:tabs>
        <w:spacing w:lineRule="auto" w:line="360"/>
        <w:ind w:firstLine="720" w:end="0"/>
        <w:rPr/>
      </w:pPr>
      <w:r>
        <w:rPr/>
        <w:t xml:space="preserve">PPP Total = Non-CARE PPP + CARE = $200,817,000 + $31,375,000 </w:t>
      </w:r>
    </w:p>
    <w:p>
      <w:pPr>
        <w:pStyle w:val="Header"/>
        <w:tabs>
          <w:tab w:val="clear" w:pos="4320"/>
          <w:tab w:val="clear" w:pos="8640"/>
          <w:tab w:val="left" w:pos="1890" w:leader="none"/>
        </w:tabs>
        <w:spacing w:lineRule="auto" w:line="360"/>
        <w:ind w:start="1440" w:end="0"/>
        <w:rPr/>
      </w:pPr>
      <w:r>
        <w:rPr/>
        <w:t xml:space="preserve">       </w:t>
      </w:r>
      <w:r>
        <w:rPr/>
        <w:tab/>
        <w:t>= $232,912,000</w:t>
      </w:r>
    </w:p>
    <w:p>
      <w:pPr>
        <w:pStyle w:val="Header"/>
        <w:tabs>
          <w:tab w:val="clear" w:pos="4320"/>
          <w:tab w:val="clear" w:pos="8640"/>
        </w:tabs>
        <w:spacing w:lineRule="auto" w:line="360"/>
        <w:ind w:firstLine="720" w:end="0"/>
        <w:rPr/>
      </w:pPr>
      <w:r>
        <w:rPr/>
        <w:t xml:space="preserve">Where: </w:t>
      </w:r>
    </w:p>
    <w:p>
      <w:pPr>
        <w:pStyle w:val="Header"/>
        <w:numPr>
          <w:ilvl w:val="0"/>
          <w:numId w:val="27"/>
        </w:numPr>
        <w:tabs>
          <w:tab w:val="clear" w:pos="4320"/>
          <w:tab w:val="clear" w:pos="8640"/>
        </w:tabs>
        <w:spacing w:lineRule="auto" w:line="360"/>
        <w:rPr/>
      </w:pPr>
      <w:r>
        <w:rPr/>
        <w:t>PPP Total, non-CARE PPP, and CARE were adopted in the GRC I decision (D.00-02-046).</w:t>
      </w:r>
      <w:r>
        <w:rPr>
          <w:rStyle w:val="FootnoteCharacters"/>
        </w:rPr>
        <w:t xml:space="preserve"> </w:t>
      </w:r>
      <w:r>
        <w:rPr>
          <w:rStyle w:val="FootnoteCharacters"/>
          <w:rStyle w:val="FootnoteReference"/>
        </w:rPr>
        <w:footnoteReference w:id="21"/>
      </w:r>
      <w:r>
        <w:rPr/>
        <w:t xml:space="preserve">   CARE was based on CARE discounts, which is based on the </w:t>
      </w:r>
      <w:r>
        <w:rPr>
          <w:u w:val="single"/>
        </w:rPr>
        <w:t>frozen</w:t>
      </w:r>
      <w:r>
        <w:rPr/>
        <w:t xml:space="preserve"> rates.</w:t>
      </w:r>
    </w:p>
    <w:p>
      <w:pPr>
        <w:pStyle w:val="BodyTextIndent"/>
        <w:spacing w:before="0" w:after="0"/>
        <w:rPr/>
      </w:pPr>
      <w:r>
        <w:rPr/>
        <w:t>As shown in the above formulas, D.00-02-046 explicitly adopted $200.8 million for the non-CARE PPP revenue requirement.  Therefore, PG&amp;E’s non-CARE PPP is $3.1 million ($203.9-200.8) higher than the adopted amount in D.00-02-046.  As noted above, CARE revenue is based on the CARE discounts, which in PG&amp;E’s formula, is based on the post-freeze total rates.  CARE revenue will change depending on the final illustrative total rates.  As discussed in Section No. 4.2, ORA uses PG&amp;E’s illustrative functional revenue requirements as its base case in order to provide a consistent comparison.  However, ORA recommends that the Commission use the formula adopted in D.00-02-048 to update the post-freeze CARE revenue and PPP total revenue requirement to calculate the final illustrative total rates.</w:t>
      </w:r>
    </w:p>
    <w:p>
      <w:pPr>
        <w:pStyle w:val="Heading4"/>
        <w:ind w:hanging="0" w:start="0"/>
        <w:jc w:val="start"/>
        <w:rPr/>
      </w:pPr>
      <w:r>
        <w:rPr>
          <w:b w:val="false"/>
          <w:sz w:val="24"/>
        </w:rPr>
        <w:t>4.2.3</w:t>
        <w:tab/>
      </w:r>
      <w:r>
        <w:rPr>
          <w:b w:val="false"/>
          <w:sz w:val="24"/>
          <w:u w:val="single"/>
        </w:rPr>
        <w:t>Generation Revenue and a Proxy for the PX Clearing Price</w:t>
      </w:r>
    </w:p>
    <w:p>
      <w:pPr>
        <w:pStyle w:val="BodyTextIndent"/>
        <w:spacing w:before="0" w:after="0"/>
        <w:rPr/>
      </w:pPr>
      <w:r>
        <w:rPr/>
        <w:t>PG&amp;E’s illustrative calculation of its generation revenue requirement multiplies the estimated average PX clearing price for each customer class by that class’ sales forecast.  ORA notes that the PX proxy has an impact not only on the illustrative generation revenue, but also on the CTC</w:t>
      </w:r>
      <w:r>
        <w:rPr>
          <w:rStyle w:val="FootnoteCharacters"/>
          <w:rStyle w:val="FootnoteReference"/>
          <w:b/>
        </w:rPr>
        <w:footnoteReference w:id="22"/>
      </w:r>
      <w:r>
        <w:rPr/>
        <w:t xml:space="preserve"> and CARE discount.</w:t>
      </w:r>
      <w:r>
        <w:rPr>
          <w:rStyle w:val="FootnoteCharacters"/>
          <w:rStyle w:val="FootnoteReference"/>
          <w:b/>
        </w:rPr>
        <w:footnoteReference w:id="23"/>
      </w:r>
      <w:r>
        <w:rPr/>
        <w:t xml:space="preserve">  PG&amp;E’s average PX clearing price was based on a system annual average of 3.0 cents per kWh adjusted by a line loss factor.  ORA agrees with PG&amp;E’s methodology for estimating its generation revenue requirement, however, PG&amp;E’s estimated average PX clearing price is too low and outdated.  On Page 2-14 of Exh. PG&amp;E-13, PG&amp;E “acknowledges that the PX proxy used in the March filing is lower than recent PX prices.”  Recent market data shows a much higher PX clearing price than PG&amp;E’s 3.0 cents per kWh.  Furthermore, PG&amp;E’s latest 12-month average PX clearing price estimate for the period ending July 31,2000 is 6.0 cents/kWh.</w:t>
      </w:r>
    </w:p>
    <w:p>
      <w:pPr>
        <w:pStyle w:val="BodyTextIndent"/>
        <w:spacing w:before="0" w:after="0"/>
        <w:rPr/>
      </w:pPr>
      <w:r>
        <w:rPr/>
        <w:t>Generation costs account for about one-third of the average residential bill, and an even higher percentage for most customers.  Therefore, the proxy for the PX clearing price has a significant effect on the overall post-freeze rate for each customer class.  As discussed above, determining a reasonable proxy for the PX clearing price is necessary to correctly determine the CARE and CTC revenue requirement, and to set rates.</w:t>
      </w:r>
    </w:p>
    <w:p>
      <w:pPr>
        <w:pStyle w:val="BodyTextIndent"/>
        <w:spacing w:before="0" w:after="0"/>
        <w:rPr/>
      </w:pPr>
      <w:r>
        <w:rPr/>
        <w:t>The current PX clearing price is somewhat volatile and therefore difficult to forecast, so ORA believes a range of PX clearing prices is reasonable.  The current trend in the average PX clearing price provides a good basis to forecast the near-term PX prices.  ORA recommends using a PX proxy of 6.0 cents/kWh for consistency between ORA’s proposed allocation and that of PG&amp;E.  ORA also uses PG&amp;E’s proxy PX clearing price of 3.0 cents/kWh as ORA’s base case.  To illustrate the rate impact if the current PX clearing price continues to rise, ORA uses a proxy PX clearing price of 10 cents/kWh as the high-end of the scenario.  ORA recommends that Commission require PG&amp;E to update its illustrative total rates to reflect the latest available PX market information.</w:t>
      </w:r>
    </w:p>
    <w:p>
      <w:pPr>
        <w:pStyle w:val="Header"/>
        <w:tabs>
          <w:tab w:val="clear" w:pos="4320"/>
          <w:tab w:val="clear" w:pos="8640"/>
        </w:tabs>
        <w:spacing w:lineRule="auto" w:line="360"/>
        <w:rPr/>
      </w:pPr>
      <w:r>
        <w:rPr/>
        <w:t>4.2.4</w:t>
        <w:tab/>
      </w:r>
      <w:r>
        <w:rPr>
          <w:u w:val="single"/>
        </w:rPr>
        <w:t>Competition Transition Charge (CTC) Revenue Requirement</w:t>
      </w:r>
    </w:p>
    <w:p>
      <w:pPr>
        <w:pStyle w:val="BodyTextIndent"/>
        <w:spacing w:before="0" w:after="0"/>
        <w:rPr/>
      </w:pPr>
      <w:r>
        <w:rPr/>
        <w:t>Most post-freeze CTC revenue requirement consists of above-market Qualifying Facility (“QF”) long-term power purchase contract payments.  PG&amp;E estimated the 2001 CTC revenue requirement by subtracting the QF payments, or expenses, by the PX revenues for QF energy deliveries.</w:t>
      </w:r>
    </w:p>
    <w:p>
      <w:pPr>
        <w:pStyle w:val="BodyTextIndent"/>
        <w:spacing w:before="0" w:after="0"/>
        <w:rPr/>
      </w:pPr>
      <w:r>
        <w:rPr/>
        <w:t>CTC Revenue = QF Expenses – PX Revenue</w:t>
      </w:r>
    </w:p>
    <w:p>
      <w:pPr>
        <w:pStyle w:val="BodyTextIndent"/>
        <w:spacing w:before="0" w:after="0"/>
        <w:rPr/>
      </w:pPr>
      <w:r>
        <w:rPr/>
        <w:t>As shown in the above equation, a higher PX clearing price lowers CTC revenue requirement because of the higher PX revenues.  PG&amp;E’s estimated QF expenses came from Phase I of the current PTR proceeding, A.99-01-016, et al.  ORA agrees with PG&amp;E’s methodology to estimate the CTC revenue requirement.</w:t>
      </w:r>
    </w:p>
    <w:p>
      <w:pPr>
        <w:pStyle w:val="Header"/>
        <w:tabs>
          <w:tab w:val="clear" w:pos="4320"/>
          <w:tab w:val="clear" w:pos="8640"/>
        </w:tabs>
        <w:spacing w:lineRule="auto" w:line="360"/>
        <w:rPr/>
      </w:pPr>
      <w:r>
        <w:rPr/>
        <w:t>4.2.5</w:t>
        <w:tab/>
      </w:r>
      <w:r>
        <w:rPr>
          <w:u w:val="single"/>
        </w:rPr>
        <w:t>Nuclear Decommissioning Revenue Requirement</w:t>
      </w:r>
    </w:p>
    <w:p>
      <w:pPr>
        <w:pStyle w:val="Header"/>
        <w:tabs>
          <w:tab w:val="clear" w:pos="4320"/>
          <w:tab w:val="clear" w:pos="8640"/>
        </w:tabs>
        <w:spacing w:lineRule="auto" w:line="360"/>
        <w:ind w:firstLine="720" w:end="0"/>
        <w:rPr/>
      </w:pPr>
      <w:r>
        <w:rPr/>
        <w:t>ORA agrees with PG&amp;E’s proposed Nuclear Decommissioning revenue requirement.  The ND revenue requirement in PG&amp;E’s testimony was adopted in</w:t>
      </w:r>
    </w:p>
    <w:p>
      <w:pPr>
        <w:pStyle w:val="Header"/>
        <w:tabs>
          <w:tab w:val="clear" w:pos="4320"/>
          <w:tab w:val="clear" w:pos="8640"/>
        </w:tabs>
        <w:spacing w:lineRule="auto" w:line="360"/>
        <w:rPr/>
      </w:pPr>
      <w:r>
        <w:rPr/>
        <w:t>D.00-02-046.</w:t>
      </w:r>
    </w:p>
    <w:p>
      <w:pPr>
        <w:pStyle w:val="BodyTextIndent2"/>
        <w:rPr>
          <w:b w:val="false"/>
        </w:rPr>
      </w:pPr>
      <w:r>
        <w:rPr>
          <w:b w:val="false"/>
        </w:rPr>
        <w:t>4.2.6</w:t>
        <w:tab/>
      </w:r>
      <w:r>
        <w:rPr>
          <w:b w:val="false"/>
          <w:u w:val="single"/>
        </w:rPr>
        <w:t>Fixed Transition Amount and Rate Reduction Bond (RRB) Memorandum Account Revenue Requirement</w:t>
      </w:r>
    </w:p>
    <w:p>
      <w:pPr>
        <w:pStyle w:val="BodyTextIndent"/>
        <w:spacing w:before="0" w:after="0"/>
        <w:rPr/>
      </w:pPr>
      <w:r>
        <w:rPr/>
        <w:t>PG&amp;E’s Fixed Transition Amount</w:t>
      </w:r>
      <w:r>
        <w:rPr>
          <w:b/>
        </w:rPr>
        <w:t xml:space="preserve"> (“</w:t>
      </w:r>
      <w:r>
        <w:rPr/>
        <w:t>FTA”) revenues reflect the 2002 estimated FTA rates pending in AL 1942-E.  The RRB memorandum account also reflected the most recent balances in the account.  ORA has no issue associated with these revenues.</w:t>
      </w:r>
    </w:p>
    <w:p>
      <w:pPr>
        <w:pStyle w:val="Heading4"/>
        <w:ind w:hanging="0" w:start="0"/>
        <w:jc w:val="start"/>
        <w:rPr>
          <w:b w:val="false"/>
          <w:sz w:val="24"/>
        </w:rPr>
      </w:pPr>
      <w:r>
        <w:rPr>
          <w:b w:val="false"/>
          <w:sz w:val="24"/>
        </w:rPr>
        <w:t>4.2.7</w:t>
        <w:tab/>
      </w:r>
      <w:r>
        <w:rPr>
          <w:b w:val="false"/>
          <w:sz w:val="24"/>
          <w:u w:val="single"/>
        </w:rPr>
        <w:t>Restructuring Implementation Costs</w:t>
      </w:r>
    </w:p>
    <w:p>
      <w:pPr>
        <w:pStyle w:val="BodyTextIndent"/>
        <w:spacing w:before="0" w:after="0"/>
        <w:rPr/>
      </w:pPr>
      <w:r>
        <w:rPr/>
        <w:t>PG&amp;E proposes zero dollars of restructuring implementation costs for the illustrative total post-freeze rates.  D.99-05-031 authorized a mechanism for PG&amp;E to seek recovery of the restructuring implementation cost recorded in the Electric Restructuring Cost Account (“ERCA”).  PG&amp;E filed A.00-07-013 requesting recovery of the ERCA related revenue requirement of approximately $142 million through the TRA mechanism prior to the end of the rate freeze.  Pending the outcome of A.00-07-013, there may or may not be an impact on PG&amp;E’s post-freeze total rates depending on when PG&amp;E recovers the authorized amount.  ORA recommends the Commission require PG&amp;E to include an estimate of potential changes in revenue requirement for 2001.</w:t>
      </w:r>
    </w:p>
    <w:p>
      <w:pPr>
        <w:pStyle w:val="Heading4"/>
        <w:ind w:hanging="0" w:start="0"/>
        <w:jc w:val="start"/>
        <w:rPr>
          <w:b w:val="false"/>
          <w:sz w:val="24"/>
        </w:rPr>
      </w:pPr>
      <w:r>
        <w:rPr>
          <w:b w:val="false"/>
          <w:sz w:val="24"/>
        </w:rPr>
        <w:t>4.2.8</w:t>
        <w:tab/>
      </w:r>
      <w:r>
        <w:rPr>
          <w:b w:val="false"/>
          <w:sz w:val="24"/>
          <w:u w:val="single"/>
        </w:rPr>
        <w:t>Transmission Revenue Requirement</w:t>
      </w:r>
    </w:p>
    <w:p>
      <w:pPr>
        <w:pStyle w:val="BodyTextIndent"/>
        <w:spacing w:before="0" w:after="0"/>
        <w:rPr/>
      </w:pPr>
      <w:r>
        <w:rPr/>
        <w:t>PG&amp;E’s estimate for its transmission revenue requirement was based on its filing at the Federal Energy Regulatory Commission (“FERC”).  That filing is effective April 1, 2000, subject to refund pending a FERC’s final order.  ORA has no issue with PG&amp;E’s estimated transmission revenue requirement.</w:t>
      </w:r>
    </w:p>
    <w:p>
      <w:pPr>
        <w:pStyle w:val="Heading4"/>
        <w:ind w:hanging="0" w:start="0"/>
        <w:jc w:val="start"/>
        <w:rPr>
          <w:b w:val="false"/>
          <w:sz w:val="24"/>
        </w:rPr>
      </w:pPr>
      <w:r>
        <w:rPr>
          <w:b w:val="false"/>
          <w:sz w:val="24"/>
        </w:rPr>
        <w:t>4.2.9</w:t>
        <w:tab/>
      </w:r>
      <w:r>
        <w:rPr>
          <w:b w:val="false"/>
          <w:sz w:val="24"/>
          <w:u w:val="single"/>
        </w:rPr>
        <w:t>Reliability Must Run Revenue Requirement</w:t>
      </w:r>
    </w:p>
    <w:p>
      <w:pPr>
        <w:pStyle w:val="BodyTextIndent"/>
        <w:spacing w:before="0" w:after="0"/>
        <w:rPr/>
      </w:pPr>
      <w:r>
        <w:rPr/>
        <w:t>Reliability Must Run (“RMR”) issues are subject to FERC jurisdiction.  PG&amp;E’s March 9, 2000 Update shows its current and illustrative RMR revenue requirement and allocation.  PG&amp;E’s estimate for its RMR revenue requirement is the same number PG&amp;E anticipates filing at FERC.  ORA concurs with PG&amp;E’s estimate related to RMR revenue requirement.</w:t>
      </w:r>
    </w:p>
    <w:p>
      <w:pPr>
        <w:pStyle w:val="BodyTextIndent"/>
        <w:spacing w:before="0" w:after="0"/>
        <w:ind w:hanging="0" w:end="0"/>
        <w:rPr/>
      </w:pPr>
      <w:r>
        <w:rPr>
          <w:b/>
        </w:rPr>
        <w:t>4.3</w:t>
        <w:tab/>
      </w:r>
      <w:r>
        <w:rPr>
          <w:b/>
          <w:u w:val="single"/>
        </w:rPr>
        <w:t>1999 Sales Forecast</w:t>
      </w:r>
    </w:p>
    <w:p>
      <w:pPr>
        <w:pStyle w:val="BodyTextIndent"/>
        <w:spacing w:before="0" w:after="0"/>
        <w:rPr/>
      </w:pPr>
      <w:r>
        <w:rPr/>
        <w:t>PG&amp;E and ORA use the sales forecast adopted in D.00-02-046.</w:t>
      </w:r>
      <w:r>
        <w:rPr>
          <w:rStyle w:val="FootnoteCharacters"/>
          <w:rStyle w:val="FootnoteReference"/>
        </w:rPr>
        <w:footnoteReference w:id="24"/>
      </w:r>
      <w:r>
        <w:rPr/>
        <w:t xml:space="preserve">  ORA agrees that the latest adopted sales forecast should be used to set the post-freeze rates.</w:t>
      </w:r>
    </w:p>
    <w:p>
      <w:pPr>
        <w:pStyle w:val="Heading2"/>
        <w:spacing w:lineRule="auto" w:line="360" w:before="0" w:after="0"/>
        <w:ind w:hanging="0" w:start="0"/>
        <w:jc w:val="start"/>
        <w:rPr/>
      </w:pPr>
      <w:r>
        <w:rPr>
          <w:rFonts w:cs="Times New Roman" w:ascii="Times New Roman" w:hAnsi="Times New Roman"/>
        </w:rPr>
        <w:t>4.4</w:t>
        <w:tab/>
      </w:r>
      <w:r>
        <w:rPr>
          <w:rFonts w:cs="Times New Roman" w:ascii="Times New Roman" w:hAnsi="Times New Roman"/>
          <w:u w:val="single"/>
        </w:rPr>
        <w:t xml:space="preserve">Marginal Cost Revenue </w:t>
      </w:r>
    </w:p>
    <w:p>
      <w:pPr>
        <w:pStyle w:val="BodyTextIndent"/>
        <w:spacing w:before="0" w:after="0"/>
        <w:rPr/>
      </w:pPr>
      <w:r>
        <w:rPr/>
        <w:t>PG&amp;E proposes to calculate the marginal cost (“MC”) revenue for distribution allocation based on demand-related distribution and customer marginal cost (MCC) revenues.  The EPMC factor for each customer class and schedule is the class/schedule marginal cost revenue expressed as a percentage of the total system MC revenue.  The Commission has traditionally adopted EPMC methodology to allocate revenue requirement.  In this proceeding, PG&amp;E proposed to use full EPMC factors based on marginal demand-related and customer costs to allocate the distribution revenue requirement.</w:t>
      </w:r>
    </w:p>
    <w:p>
      <w:pPr>
        <w:pStyle w:val="Table"/>
        <w:pBdr>
          <w:top w:val="single" w:sz="4" w:space="1" w:color="000000"/>
          <w:left w:val="single" w:sz="4" w:space="0" w:color="000000"/>
          <w:bottom w:val="single" w:sz="4" w:space="1" w:color="000000"/>
          <w:right w:val="single" w:sz="4" w:space="0" w:color="000000"/>
        </w:pBdr>
        <w:ind w:firstLine="360" w:start="540" w:end="1080"/>
        <w:rPr/>
      </w:pPr>
      <w:r>
        <w:rPr/>
        <w:t xml:space="preserve">MC Revenue = MCC Revenue + Demand-Related MC Revenues </w:t>
      </w:r>
    </w:p>
    <w:p>
      <w:pPr>
        <w:pStyle w:val="Table"/>
        <w:pBdr>
          <w:top w:val="single" w:sz="4" w:space="1" w:color="000000"/>
          <w:left w:val="single" w:sz="4" w:space="0" w:color="000000"/>
          <w:bottom w:val="single" w:sz="4" w:space="1" w:color="000000"/>
          <w:right w:val="single" w:sz="4" w:space="0" w:color="000000"/>
        </w:pBdr>
        <w:ind w:firstLine="360" w:start="540" w:end="1080"/>
        <w:rPr/>
      </w:pPr>
      <w:r>
        <w:rPr/>
        <w:t>Full EPMC Factor = Class MC Revenue/Total System MC Revenue</w:t>
      </w:r>
    </w:p>
    <w:p>
      <w:pPr>
        <w:pStyle w:val="Table"/>
        <w:ind w:firstLine="720" w:end="0"/>
        <w:rPr/>
      </w:pPr>
      <w:r>
        <w:rPr/>
      </w:r>
    </w:p>
    <w:p>
      <w:pPr>
        <w:pStyle w:val="Table"/>
        <w:ind w:firstLine="720" w:end="0"/>
        <w:rPr/>
      </w:pPr>
      <w:r>
        <w:rPr/>
        <w:t>Where:</w:t>
      </w:r>
    </w:p>
    <w:p>
      <w:pPr>
        <w:pStyle w:val="Table"/>
        <w:ind w:firstLine="720" w:end="0"/>
        <w:rPr/>
      </w:pPr>
      <w:r>
        <w:rPr/>
        <w:t>MC = Marginal Costs</w:t>
      </w:r>
    </w:p>
    <w:p>
      <w:pPr>
        <w:pStyle w:val="Table"/>
        <w:ind w:firstLine="720" w:end="0"/>
        <w:rPr/>
      </w:pPr>
      <w:r>
        <w:rPr/>
        <w:t>MCC = Marginal Customer Costs</w:t>
      </w:r>
    </w:p>
    <w:p>
      <w:pPr>
        <w:pStyle w:val="Table"/>
        <w:ind w:firstLine="720" w:end="0"/>
        <w:rPr/>
      </w:pPr>
      <w:r>
        <w:rPr/>
        <w:t>EPMC = Equal Percent of Marginal Costs</w:t>
      </w:r>
    </w:p>
    <w:p>
      <w:pPr>
        <w:pStyle w:val="Table"/>
        <w:ind w:firstLine="720" w:end="0"/>
        <w:rPr/>
      </w:pPr>
      <w:r>
        <w:rPr/>
      </w:r>
    </w:p>
    <w:p>
      <w:pPr>
        <w:pStyle w:val="BodyTextIndent"/>
        <w:spacing w:before="0" w:after="0"/>
        <w:rPr/>
      </w:pPr>
      <w:r>
        <w:rPr/>
        <w:t>ORA’s marginal cost revenue is calculated based on ORA’s marginal demand and customer related cost revenues, which are discussed below.  As presented in Chapter 2 and Chapter 8, ORA recommends using a 15 percent capped-EPMC allocation rather than PG&amp;E’s full EPMC.</w:t>
      </w:r>
    </w:p>
    <w:p>
      <w:pPr>
        <w:pStyle w:val="BodyTextIndent"/>
        <w:spacing w:before="0" w:after="0"/>
        <w:rPr/>
      </w:pPr>
      <w:r>
        <w:rPr/>
        <w:t xml:space="preserve">Tables 4-4 and 4-5 summarize PG&amp;E’s and ORA’s recommended current and proposed marginal cost revenue and EPMC factors for each customer class for the allocation of distribution revenue requirement.  </w:t>
      </w:r>
    </w:p>
    <w:p>
      <w:pPr>
        <w:pStyle w:val="Heading2"/>
        <w:spacing w:lineRule="auto" w:line="360" w:before="0" w:after="0"/>
        <w:ind w:hanging="0" w:start="0"/>
        <w:jc w:val="start"/>
        <w:rPr/>
      </w:pPr>
      <w:r>
        <w:rPr>
          <w:rFonts w:cs="Times New Roman" w:ascii="Times New Roman" w:hAnsi="Times New Roman"/>
          <w:b w:val="false"/>
        </w:rPr>
        <w:t>4.4.1</w:t>
        <w:tab/>
      </w:r>
      <w:r>
        <w:rPr>
          <w:rFonts w:cs="Times New Roman" w:ascii="Times New Roman" w:hAnsi="Times New Roman"/>
          <w:b w:val="false"/>
          <w:u w:val="single"/>
        </w:rPr>
        <w:t>Marginal Customer Cost Revenue</w:t>
      </w:r>
    </w:p>
    <w:p>
      <w:pPr>
        <w:pStyle w:val="BodyTextIndent"/>
        <w:spacing w:before="0" w:after="0"/>
        <w:rPr/>
      </w:pPr>
      <w:r>
        <w:rPr/>
        <w:t>Revenues associated with PG&amp;E’s marginal customer cost (“MCC”) have two components: 1) new hookup costs, and 2) on-going costs.  PG&amp;E’s marginal customer cost revenues are calculated in the following four steps:</w:t>
      </w:r>
    </w:p>
    <w:p>
      <w:pPr>
        <w:pStyle w:val="Table"/>
        <w:numPr>
          <w:ilvl w:val="0"/>
          <w:numId w:val="3"/>
        </w:numPr>
        <w:pBdr>
          <w:top w:val="single" w:sz="4" w:space="1" w:color="000000"/>
          <w:left w:val="single" w:sz="4" w:space="4" w:color="000000"/>
          <w:bottom w:val="single" w:sz="4" w:space="1" w:color="000000"/>
          <w:right w:val="single" w:sz="4" w:space="0" w:color="000000"/>
        </w:pBdr>
        <w:spacing w:lineRule="auto" w:line="360"/>
        <w:ind w:hanging="360" w:start="360" w:end="-270"/>
        <w:rPr>
          <w:sz w:val="22"/>
        </w:rPr>
      </w:pPr>
      <w:r>
        <w:rPr>
          <w:sz w:val="22"/>
        </w:rPr>
        <w:t>Total New Hookup MC Rev. = Marginal New Hookup Cost ($/Cust.)  x 3 Year-Avg. # of New Customers</w:t>
      </w:r>
      <w:r>
        <w:rPr>
          <w:rStyle w:val="FootnoteCharacters"/>
          <w:rStyle w:val="FootnoteReference"/>
          <w:sz w:val="20"/>
        </w:rPr>
        <w:footnoteReference w:id="25"/>
      </w:r>
      <w:r>
        <w:rPr>
          <w:rStyle w:val="FootnoteCharacters"/>
          <w:sz w:val="20"/>
        </w:rPr>
        <w:t xml:space="preserve"> </w:t>
      </w:r>
    </w:p>
    <w:p>
      <w:pPr>
        <w:pStyle w:val="Table"/>
        <w:numPr>
          <w:ilvl w:val="0"/>
          <w:numId w:val="3"/>
        </w:numPr>
        <w:pBdr>
          <w:top w:val="single" w:sz="4" w:space="1" w:color="000000"/>
          <w:left w:val="single" w:sz="4" w:space="4" w:color="000000"/>
          <w:bottom w:val="single" w:sz="4" w:space="1" w:color="000000"/>
          <w:right w:val="single" w:sz="4" w:space="0" w:color="000000"/>
        </w:pBdr>
        <w:spacing w:lineRule="auto" w:line="360"/>
        <w:ind w:hanging="360" w:start="360" w:end="-270"/>
        <w:rPr>
          <w:sz w:val="22"/>
        </w:rPr>
      </w:pPr>
      <w:r>
        <w:rPr>
          <w:sz w:val="22"/>
        </w:rPr>
        <w:t>Total Ongoing MC Rev. = Marginal Ongoing Cost ($/Cust.) x  # of 1997 Existing Customers</w:t>
      </w:r>
      <w:r>
        <w:rPr>
          <w:rStyle w:val="FootnoteCharacters"/>
          <w:rStyle w:val="FootnoteReference"/>
          <w:sz w:val="20"/>
        </w:rPr>
        <w:footnoteReference w:id="26"/>
      </w:r>
    </w:p>
    <w:p>
      <w:pPr>
        <w:pStyle w:val="Table"/>
        <w:numPr>
          <w:ilvl w:val="0"/>
          <w:numId w:val="3"/>
        </w:numPr>
        <w:pBdr>
          <w:top w:val="single" w:sz="4" w:space="1" w:color="000000"/>
          <w:left w:val="single" w:sz="4" w:space="4" w:color="000000"/>
          <w:bottom w:val="single" w:sz="4" w:space="1" w:color="000000"/>
          <w:right w:val="single" w:sz="4" w:space="0" w:color="000000"/>
        </w:pBdr>
        <w:spacing w:lineRule="auto" w:line="360"/>
        <w:ind w:hanging="360" w:start="360" w:end="-270"/>
        <w:rPr>
          <w:sz w:val="22"/>
        </w:rPr>
      </w:pPr>
      <w:r>
        <w:rPr>
          <w:sz w:val="22"/>
        </w:rPr>
        <w:t>Unit MCC = (Total New Hookup Cost Rev. + Total Ongoing Cost Rev.)/ 1997 Existing Customers</w:t>
      </w:r>
    </w:p>
    <w:p>
      <w:pPr>
        <w:pStyle w:val="Table"/>
        <w:numPr>
          <w:ilvl w:val="0"/>
          <w:numId w:val="3"/>
        </w:numPr>
        <w:pBdr>
          <w:top w:val="single" w:sz="4" w:space="1" w:color="000000"/>
          <w:left w:val="single" w:sz="4" w:space="4" w:color="000000"/>
          <w:bottom w:val="single" w:sz="4" w:space="1" w:color="000000"/>
          <w:right w:val="single" w:sz="4" w:space="0" w:color="000000"/>
        </w:pBdr>
        <w:spacing w:lineRule="auto" w:line="360"/>
        <w:ind w:hanging="360" w:start="360" w:end="-270"/>
        <w:rPr>
          <w:sz w:val="22"/>
        </w:rPr>
      </w:pPr>
      <w:r>
        <w:rPr>
          <w:sz w:val="22"/>
        </w:rPr>
        <w:t>Total MCC Revenues = Unit MCC ($/kWh) x 1999 Forecasted # of Customers</w:t>
      </w:r>
      <w:r>
        <w:rPr>
          <w:rStyle w:val="FootnoteCharacters"/>
          <w:rStyle w:val="FootnoteReference"/>
          <w:sz w:val="20"/>
        </w:rPr>
        <w:footnoteReference w:id="27"/>
      </w:r>
    </w:p>
    <w:p>
      <w:pPr>
        <w:pStyle w:val="Table"/>
        <w:spacing w:lineRule="auto" w:line="360"/>
        <w:ind w:start="360" w:end="-540"/>
        <w:rPr>
          <w:sz w:val="22"/>
        </w:rPr>
      </w:pPr>
      <w:r>
        <w:rPr>
          <w:sz w:val="22"/>
        </w:rPr>
      </w:r>
    </w:p>
    <w:p>
      <w:pPr>
        <w:pStyle w:val="Table"/>
        <w:spacing w:lineRule="auto" w:line="360"/>
        <w:ind w:start="360" w:end="-540"/>
        <w:rPr/>
      </w:pPr>
      <w:r>
        <w:rPr/>
        <w:t>Where:</w:t>
      </w:r>
    </w:p>
    <w:p>
      <w:pPr>
        <w:pStyle w:val="Table"/>
        <w:ind w:start="360" w:end="-547"/>
        <w:rPr/>
      </w:pPr>
      <w:r>
        <w:rPr/>
        <w:t>MC = Marginal Costs</w:t>
      </w:r>
    </w:p>
    <w:p>
      <w:pPr>
        <w:pStyle w:val="Table"/>
        <w:ind w:start="360" w:end="-547"/>
        <w:rPr/>
      </w:pPr>
      <w:r>
        <w:rPr/>
        <w:t>Rev. = Revenues</w:t>
      </w:r>
    </w:p>
    <w:p>
      <w:pPr>
        <w:pStyle w:val="Table"/>
        <w:ind w:start="360" w:end="-547"/>
        <w:rPr/>
      </w:pPr>
      <w:r>
        <w:rPr/>
        <w:t>MCC = Marginal Customer Costs</w:t>
      </w:r>
    </w:p>
    <w:p>
      <w:pPr>
        <w:pStyle w:val="Table"/>
        <w:spacing w:lineRule="auto" w:line="360"/>
        <w:ind w:start="360" w:end="-540"/>
        <w:rPr>
          <w:sz w:val="22"/>
        </w:rPr>
      </w:pPr>
      <w:r>
        <w:rPr>
          <w:sz w:val="22"/>
        </w:rPr>
      </w:r>
    </w:p>
    <w:p>
      <w:pPr>
        <w:pStyle w:val="BodyTextIndent"/>
        <w:spacing w:before="0" w:after="0"/>
        <w:rPr/>
      </w:pPr>
      <w:r>
        <w:rPr/>
        <w:t>Both marginal new hookup costs ($/Customer) and ongoing costs ($/Customer) are inputs from PG&amp;E’s Marginal Cost testimony, Exh. PG&amp;E-2.  ORA calculates marginal customer cost revenues similarly, but uses ORA’s developed marginal new hookup and ongoing costs from Chapter 3.  Table Nos. 4-6 through 4-8 summarize PG&amp;E and ORA’s proposed marginal customer cost revenues for each customer class.</w:t>
      </w:r>
    </w:p>
    <w:p>
      <w:pPr>
        <w:pStyle w:val="Heading2"/>
        <w:spacing w:lineRule="auto" w:line="360" w:before="0" w:after="0"/>
        <w:ind w:hanging="0" w:start="0"/>
        <w:jc w:val="start"/>
        <w:rPr/>
      </w:pPr>
      <w:r>
        <w:rPr>
          <w:rFonts w:cs="Times New Roman" w:ascii="Times New Roman" w:hAnsi="Times New Roman"/>
          <w:b w:val="false"/>
        </w:rPr>
        <w:t>4.4.2</w:t>
        <w:tab/>
      </w:r>
      <w:r>
        <w:rPr>
          <w:rFonts w:cs="Times New Roman" w:ascii="Times New Roman" w:hAnsi="Times New Roman"/>
          <w:b w:val="false"/>
          <w:u w:val="single"/>
        </w:rPr>
        <w:t>Demand-Related Distribution Marginal Cost Revenue</w:t>
      </w:r>
    </w:p>
    <w:p>
      <w:pPr>
        <w:pStyle w:val="Heading4"/>
        <w:ind w:firstLine="720" w:start="0" w:end="0"/>
        <w:jc w:val="start"/>
        <w:rPr>
          <w:b w:val="false"/>
          <w:sz w:val="24"/>
        </w:rPr>
      </w:pPr>
      <w:r>
        <w:rPr>
          <w:b w:val="false"/>
          <w:sz w:val="24"/>
        </w:rPr>
        <w:t>PG&amp;E computes demand-related distribution marginal cost revenue as the sum of: 1) primary (small and large projects) demand-related costs (“primary MC”, herein; and 2) secondary demand-related costs (“secondary MC, herein).  The primary demand-related costs are calculated in the following three steps:</w:t>
      </w:r>
    </w:p>
    <w:p>
      <w:pPr>
        <w:pStyle w:val="Normal"/>
        <w:rPr>
          <w:b/>
          <w:sz w:val="24"/>
        </w:rPr>
      </w:pPr>
      <w:r>
        <w:rPr>
          <w:b/>
          <w:sz w:val="24"/>
        </w:rPr>
      </w:r>
    </w:p>
    <w:p>
      <w:pPr>
        <w:pStyle w:val="Table"/>
        <w:numPr>
          <w:ilvl w:val="0"/>
          <w:numId w:val="26"/>
        </w:numPr>
        <w:pBdr>
          <w:top w:val="single" w:sz="4" w:space="1" w:color="000000"/>
          <w:left w:val="single" w:sz="4" w:space="4" w:color="000000"/>
          <w:bottom w:val="single" w:sz="4" w:space="1" w:color="000000"/>
          <w:right w:val="single" w:sz="4" w:space="4" w:color="000000"/>
        </w:pBdr>
        <w:ind w:hanging="360" w:start="360" w:end="540"/>
        <w:rPr/>
      </w:pPr>
      <w:r>
        <w:rPr/>
        <w:t>Primary MC Rev. = Primary MC ($/kW) x Capacity Loss Factors x Seasonal PCAF (kW)</w:t>
      </w:r>
    </w:p>
    <w:p>
      <w:pPr>
        <w:pStyle w:val="Table"/>
        <w:numPr>
          <w:ilvl w:val="0"/>
          <w:numId w:val="26"/>
        </w:numPr>
        <w:pBdr>
          <w:top w:val="single" w:sz="4" w:space="1" w:color="000000"/>
          <w:left w:val="single" w:sz="4" w:space="4" w:color="000000"/>
          <w:bottom w:val="single" w:sz="4" w:space="1" w:color="000000"/>
          <w:right w:val="single" w:sz="4" w:space="4" w:color="000000"/>
        </w:pBdr>
        <w:ind w:hanging="360" w:start="360" w:end="540"/>
        <w:rPr/>
      </w:pPr>
      <w:r>
        <w:rPr/>
        <w:t>Unit Primary MC = Primary MC Rev./Weather Normalized 1997 Sales (kWh)</w:t>
      </w:r>
    </w:p>
    <w:p>
      <w:pPr>
        <w:pStyle w:val="Table"/>
        <w:numPr>
          <w:ilvl w:val="0"/>
          <w:numId w:val="26"/>
        </w:numPr>
        <w:pBdr>
          <w:top w:val="single" w:sz="4" w:space="1" w:color="000000"/>
          <w:left w:val="single" w:sz="4" w:space="4" w:color="000000"/>
          <w:bottom w:val="single" w:sz="4" w:space="1" w:color="000000"/>
          <w:right w:val="single" w:sz="4" w:space="4" w:color="000000"/>
        </w:pBdr>
        <w:ind w:hanging="360" w:start="360" w:end="540"/>
        <w:rPr/>
      </w:pPr>
      <w:r>
        <w:rPr/>
        <w:t xml:space="preserve">Total Primary MC Rev. = Unit Primary MC ($/kWh) x 1999 Sales Forecast (kWh) </w:t>
      </w:r>
    </w:p>
    <w:p>
      <w:pPr>
        <w:pStyle w:val="Table"/>
        <w:rPr/>
      </w:pPr>
      <w:r>
        <w:rPr/>
      </w:r>
    </w:p>
    <w:p>
      <w:pPr>
        <w:pStyle w:val="Table"/>
        <w:ind w:start="360" w:end="0"/>
        <w:rPr/>
      </w:pPr>
      <w:r>
        <w:rPr/>
        <w:t xml:space="preserve">Where: </w:t>
      </w:r>
    </w:p>
    <w:p>
      <w:pPr>
        <w:pStyle w:val="Table"/>
        <w:ind w:start="360" w:end="0"/>
        <w:rPr/>
      </w:pPr>
      <w:r>
        <w:rPr/>
        <w:t>MC = Marginal Costs</w:t>
      </w:r>
    </w:p>
    <w:p>
      <w:pPr>
        <w:pStyle w:val="Table"/>
        <w:ind w:start="360" w:end="0"/>
        <w:rPr/>
      </w:pPr>
      <w:r>
        <w:rPr/>
        <w:t>Rev. = Revenues</w:t>
      </w:r>
    </w:p>
    <w:p>
      <w:pPr>
        <w:pStyle w:val="Table"/>
        <w:ind w:start="360" w:end="0"/>
        <w:rPr/>
      </w:pPr>
      <w:r>
        <w:rPr/>
        <w:t>PCAF = Peak Cost Allocation Factor x Weighted Loads at DPAs</w:t>
      </w:r>
    </w:p>
    <w:p>
      <w:pPr>
        <w:pStyle w:val="Table"/>
        <w:ind w:start="360" w:end="0"/>
        <w:rPr/>
      </w:pPr>
      <w:r>
        <w:rPr/>
        <w:t>DPA = Distribution Planning Area</w:t>
      </w:r>
    </w:p>
    <w:p>
      <w:pPr>
        <w:pStyle w:val="Table"/>
        <w:ind w:start="360" w:end="0"/>
        <w:rPr/>
      </w:pPr>
      <w:r>
        <w:rPr/>
      </w:r>
    </w:p>
    <w:p>
      <w:pPr>
        <w:pStyle w:val="BodyTextIndent"/>
        <w:spacing w:before="0" w:after="0"/>
        <w:rPr/>
      </w:pPr>
      <w:r>
        <w:rPr/>
        <w:t>Similar to primary, the Secondary distribution marginal cost revenues are calculated in the following three steps:</w:t>
      </w:r>
    </w:p>
    <w:p>
      <w:pPr>
        <w:pStyle w:val="Table"/>
        <w:numPr>
          <w:ilvl w:val="0"/>
          <w:numId w:val="30"/>
        </w:numPr>
        <w:pBdr>
          <w:top w:val="single" w:sz="4" w:space="1" w:color="000000"/>
          <w:left w:val="single" w:sz="4" w:space="4" w:color="000000"/>
          <w:bottom w:val="single" w:sz="4" w:space="1" w:color="000000"/>
          <w:right w:val="single" w:sz="4" w:space="4" w:color="000000"/>
        </w:pBdr>
        <w:ind w:hanging="360" w:start="360" w:end="360"/>
        <w:rPr/>
      </w:pPr>
      <w:r>
        <w:rPr/>
        <w:t>Secondary MC Rev. = Secondary MC ($/kW) x FLT Loads (kW)</w:t>
      </w:r>
    </w:p>
    <w:p>
      <w:pPr>
        <w:pStyle w:val="Table"/>
        <w:numPr>
          <w:ilvl w:val="0"/>
          <w:numId w:val="30"/>
        </w:numPr>
        <w:pBdr>
          <w:top w:val="single" w:sz="4" w:space="1" w:color="000000"/>
          <w:left w:val="single" w:sz="4" w:space="4" w:color="000000"/>
          <w:bottom w:val="single" w:sz="4" w:space="1" w:color="000000"/>
          <w:right w:val="single" w:sz="4" w:space="4" w:color="000000"/>
        </w:pBdr>
        <w:ind w:hanging="360" w:start="360" w:end="360"/>
        <w:rPr/>
      </w:pPr>
      <w:r>
        <w:rPr/>
        <w:t>Unit Secondary MC = Secondary MC Rev./Weather Normalized 1997 Sales (kWh)</w:t>
      </w:r>
    </w:p>
    <w:p>
      <w:pPr>
        <w:pStyle w:val="Table"/>
        <w:numPr>
          <w:ilvl w:val="0"/>
          <w:numId w:val="30"/>
        </w:numPr>
        <w:pBdr>
          <w:top w:val="single" w:sz="4" w:space="1" w:color="000000"/>
          <w:left w:val="single" w:sz="4" w:space="4" w:color="000000"/>
          <w:bottom w:val="single" w:sz="4" w:space="1" w:color="000000"/>
          <w:right w:val="single" w:sz="4" w:space="4" w:color="000000"/>
        </w:pBdr>
        <w:ind w:hanging="360" w:start="360" w:end="360"/>
        <w:rPr/>
      </w:pPr>
      <w:r>
        <w:rPr/>
        <w:t>Total Secondary MC Rev. = Unit Secondary MC ($/kWh) x 1999 Sales Forecast (kWh)</w:t>
      </w:r>
      <w:r>
        <w:rPr>
          <w:rStyle w:val="FootnoteCharacters"/>
          <w:rStyle w:val="FootnoteReference"/>
        </w:rPr>
        <w:footnoteReference w:id="28"/>
      </w:r>
      <w:r>
        <w:rPr/>
        <w:t xml:space="preserve"> </w:t>
      </w:r>
    </w:p>
    <w:p>
      <w:pPr>
        <w:pStyle w:val="Table"/>
        <w:rPr/>
      </w:pPr>
      <w:r>
        <w:rPr/>
      </w:r>
    </w:p>
    <w:p>
      <w:pPr>
        <w:pStyle w:val="Table"/>
        <w:ind w:start="360" w:end="0"/>
        <w:rPr/>
      </w:pPr>
      <w:r>
        <w:rPr/>
        <w:t xml:space="preserve">Where: </w:t>
      </w:r>
    </w:p>
    <w:p>
      <w:pPr>
        <w:pStyle w:val="Table"/>
        <w:ind w:start="360" w:end="0"/>
        <w:rPr/>
      </w:pPr>
      <w:r>
        <w:rPr/>
        <w:t>MC = Marginal Cost</w:t>
      </w:r>
    </w:p>
    <w:p>
      <w:pPr>
        <w:pStyle w:val="Table"/>
        <w:ind w:start="360" w:end="0"/>
        <w:rPr/>
      </w:pPr>
      <w:r>
        <w:rPr/>
        <w:t>Rev. = Revenue</w:t>
      </w:r>
    </w:p>
    <w:p>
      <w:pPr>
        <w:pStyle w:val="Table"/>
        <w:ind w:start="360" w:end="0"/>
        <w:rPr/>
      </w:pPr>
      <w:r>
        <w:rPr/>
        <w:t>FLT = Division-specific Final Line Transformer</w:t>
      </w:r>
    </w:p>
    <w:p>
      <w:pPr>
        <w:pStyle w:val="Normal"/>
        <w:spacing w:lineRule="auto" w:line="360"/>
        <w:rPr/>
      </w:pPr>
      <w:r>
        <w:rPr/>
      </w:r>
    </w:p>
    <w:p>
      <w:pPr>
        <w:pStyle w:val="BodyTextIndent"/>
        <w:spacing w:before="0" w:after="0"/>
        <w:rPr/>
      </w:pPr>
      <w:r>
        <w:rPr/>
        <w:t>Both primary and secondary marginal costs ($/kW) are inputs from PG&amp;E’s Marginal Cost testimony, PG&amp;E-2 Marginal Costs Consolidated, Table 3A-1.  PG&amp;E’s PCAF and FLT loads are calculated in Exh. PG&amp;E-3, Revenue Allocation Consolidated, and Chapter 3, Customer Loads.</w:t>
      </w:r>
    </w:p>
    <w:p>
      <w:pPr>
        <w:pStyle w:val="BodyTextIndent"/>
        <w:spacing w:before="0" w:after="0"/>
        <w:rPr/>
      </w:pPr>
      <w:r>
        <w:rPr/>
        <w:t>ORA similarly calculates total primary and secondary marginal cost revenues, but uses ORA-developed primary and secondary marginal costs presented in Chapter 3.  Table No. 4-9 summarizes PG&amp;E and ORA’s recommendation for present and proposed demand-related distribution marginal cost revenues for each customer class.</w:t>
      </w:r>
    </w:p>
    <w:p>
      <w:pPr>
        <w:pStyle w:val="Heading2"/>
        <w:spacing w:lineRule="auto" w:line="360" w:before="0" w:after="0"/>
        <w:ind w:hanging="0" w:start="0"/>
        <w:jc w:val="start"/>
        <w:rPr/>
      </w:pPr>
      <w:r>
        <w:rPr>
          <w:rFonts w:cs="Times New Roman" w:ascii="Times New Roman" w:hAnsi="Times New Roman"/>
        </w:rPr>
        <w:t>4.5</w:t>
        <w:tab/>
      </w:r>
      <w:r>
        <w:rPr>
          <w:rFonts w:cs="Times New Roman" w:ascii="Times New Roman" w:hAnsi="Times New Roman"/>
          <w:u w:val="single"/>
        </w:rPr>
        <w:t>Distribution Revenue Allocation</w:t>
      </w:r>
    </w:p>
    <w:p>
      <w:pPr>
        <w:pStyle w:val="BodyTextIndent"/>
        <w:spacing w:before="0" w:after="0"/>
        <w:rPr/>
      </w:pPr>
      <w:r>
        <w:rPr/>
        <w:t>Under the marginal cost allocation, there are five steps in revenue allocation:</w:t>
      </w:r>
    </w:p>
    <w:p>
      <w:pPr>
        <w:pStyle w:val="Table"/>
        <w:numPr>
          <w:ilvl w:val="0"/>
          <w:numId w:val="12"/>
        </w:numPr>
        <w:pBdr>
          <w:top w:val="single" w:sz="4" w:space="0" w:color="000000"/>
          <w:left w:val="single" w:sz="4" w:space="4" w:color="000000"/>
          <w:bottom w:val="single" w:sz="4" w:space="1" w:color="000000"/>
          <w:right w:val="single" w:sz="4" w:space="4" w:color="000000"/>
        </w:pBdr>
        <w:rPr/>
      </w:pPr>
      <w:r>
        <w:rPr/>
        <w:t>Determine the revenue requirement and billing determinants based on sales forecast.</w:t>
      </w:r>
    </w:p>
    <w:p>
      <w:pPr>
        <w:pStyle w:val="Table"/>
        <w:numPr>
          <w:ilvl w:val="0"/>
          <w:numId w:val="12"/>
        </w:numPr>
        <w:pBdr>
          <w:top w:val="single" w:sz="4" w:space="0" w:color="000000"/>
          <w:left w:val="single" w:sz="4" w:space="4" w:color="000000"/>
          <w:bottom w:val="single" w:sz="4" w:space="1" w:color="000000"/>
          <w:right w:val="single" w:sz="4" w:space="4" w:color="000000"/>
        </w:pBdr>
        <w:rPr/>
      </w:pPr>
      <w:r>
        <w:rPr/>
        <w:t>Define classes.</w:t>
      </w:r>
    </w:p>
    <w:p>
      <w:pPr>
        <w:pStyle w:val="Table"/>
        <w:numPr>
          <w:ilvl w:val="0"/>
          <w:numId w:val="12"/>
        </w:numPr>
        <w:pBdr>
          <w:top w:val="single" w:sz="4" w:space="0" w:color="000000"/>
          <w:left w:val="single" w:sz="4" w:space="4" w:color="000000"/>
          <w:bottom w:val="single" w:sz="4" w:space="1" w:color="000000"/>
          <w:right w:val="single" w:sz="4" w:space="4" w:color="000000"/>
        </w:pBdr>
        <w:rPr/>
      </w:pPr>
      <w:r>
        <w:rPr/>
        <w:t>Calculate marginal cost revenues and EPMC factor.</w:t>
      </w:r>
    </w:p>
    <w:p>
      <w:pPr>
        <w:pStyle w:val="Table"/>
        <w:numPr>
          <w:ilvl w:val="0"/>
          <w:numId w:val="12"/>
        </w:numPr>
        <w:pBdr>
          <w:top w:val="single" w:sz="4" w:space="0" w:color="000000"/>
          <w:left w:val="single" w:sz="4" w:space="4" w:color="000000"/>
          <w:bottom w:val="single" w:sz="4" w:space="1" w:color="000000"/>
          <w:right w:val="single" w:sz="4" w:space="4" w:color="000000"/>
        </w:pBdr>
        <w:rPr/>
      </w:pPr>
      <w:r>
        <w:rPr/>
        <w:t>Determine of allocated and non-allocated revenues.</w:t>
      </w:r>
    </w:p>
    <w:p>
      <w:pPr>
        <w:pStyle w:val="Table"/>
        <w:numPr>
          <w:ilvl w:val="0"/>
          <w:numId w:val="12"/>
        </w:numPr>
        <w:pBdr>
          <w:top w:val="single" w:sz="4" w:space="0" w:color="000000"/>
          <w:left w:val="single" w:sz="4" w:space="4" w:color="000000"/>
          <w:bottom w:val="single" w:sz="4" w:space="1" w:color="000000"/>
          <w:right w:val="single" w:sz="4" w:space="4" w:color="000000"/>
        </w:pBdr>
        <w:rPr/>
      </w:pPr>
      <w:r>
        <w:rPr/>
        <w:t>Allocate the allocated revenue requirement using EPMC method.  The net class allocation is the sum of allocated and non-allocated revenues to each class.</w:t>
      </w:r>
    </w:p>
    <w:p>
      <w:pPr>
        <w:pStyle w:val="Table"/>
        <w:ind w:start="720" w:end="0"/>
        <w:rPr/>
      </w:pPr>
      <w:r>
        <w:rPr/>
      </w:r>
    </w:p>
    <w:p>
      <w:pPr>
        <w:pStyle w:val="BodyTextIndent"/>
        <w:spacing w:before="0" w:after="0"/>
        <w:rPr/>
      </w:pPr>
      <w:r>
        <w:rPr/>
        <w:t>Steps 1 through 3 are discussed in Sections 4.2 through 4.5.  Step 4 is discussed in section 4.6.1.  PG&amp;E proposes to use full EPMC methodology to allocate distribution revenue requirement.  D.97-08-056 was the first to adopt a full-unbundled EPMC allocation.  Full EPMC differs from the traditional EPMC methodology.  Traditional EPMC was based on all functional marginal cost components including generation.  Unbundled EPMC was based on marginal transmission, demand-related distribution and customer costs.  In the 1998 Rate Adjustment Proceeding (“RAP”), the Commission continued to use the unbundled EPMC.  Given the rate freeze, both of the Unbundling and the 1998 RAP decisions had no impact on customers’ total rates.  The adopted distribution rate changes only impacted residual CTC revenues during the rate-freeze period.</w:t>
      </w:r>
    </w:p>
    <w:p>
      <w:pPr>
        <w:pStyle w:val="BodyTextIndent"/>
        <w:spacing w:before="0" w:after="0"/>
        <w:rPr/>
      </w:pPr>
      <w:r>
        <w:rPr/>
        <w:t>After the rate-freeze ends, the unbundled total rate will no longer be fixed.  In this proceeding, PG&amp;E proposes to use only demand-related and customer marginal costs to allocate distribution revenue requirement.  Transmission function now is under FERC jurisdiction.  In PG&amp;E-3, Page 1-6, PG&amp;E believes that distribution allocation would change depending on the transmission marginal costs and allocation and if the unbundled EPMC including transmission marginal costs is applied.  ORA agrees with PG&amp;E, but notes that this methodology could result in negative distribution rates in some cases.  Therefore, ORA agrees with PG&amp;E and recommends using demand-related and customer marginal costs to allocate distribution revenue.</w:t>
      </w:r>
    </w:p>
    <w:p>
      <w:pPr>
        <w:pStyle w:val="BodyTextIndent"/>
        <w:spacing w:before="0" w:after="0"/>
        <w:rPr/>
      </w:pPr>
      <w:r>
        <w:rPr/>
        <w:t>If PG&amp;E or ORA’s proposed full EPMC is applied to the current class definitions, there would be adverse rate impacts on some of the small and medium agricultural classes.  As discussed in Chapters 5 through 8, PG&amp;E proposes class consolidation as a solution to reducing the required rate increase for these customers’ distribution rates.  However, ORA objects to PG&amp;E’s class consolidation proposal on principle.</w:t>
      </w:r>
    </w:p>
    <w:p>
      <w:pPr>
        <w:pStyle w:val="BodyTextIndent"/>
        <w:spacing w:before="0" w:after="0"/>
        <w:rPr/>
      </w:pPr>
      <w:r>
        <w:rPr/>
        <w:t>As discussed in Section 4.5, marginal costs are determined by the EPMC factor for each customer class.  Different marginal cost methodologies will change the magnitude of the rate impacts.  As shown in Table 4-5, ORA’s developed marginal costs reduce EPMC factors for the residential and small commercial classes.  In principle, full-EPMC methodology should be used to allocate distribution revenue for this proceeding.</w:t>
      </w:r>
    </w:p>
    <w:p>
      <w:pPr>
        <w:pStyle w:val="BodyTextIndent"/>
        <w:spacing w:before="0" w:after="0"/>
        <w:rPr/>
      </w:pPr>
      <w:r>
        <w:rPr/>
        <w:t xml:space="preserve">To optimize full EPMC while reducing adverse rate impacts on customers’ distribution rates, ORA recommends a 15 percent capped-EPMC.  Capped-EPMC has historically been adopted by the Commission prior to electric restructuring.  However, ORA believes that capped-EPMC methodology should </w:t>
      </w:r>
      <w:r>
        <w:rPr>
          <w:u w:val="single"/>
        </w:rPr>
        <w:t>not</w:t>
      </w:r>
      <w:r>
        <w:rPr/>
        <w:t xml:space="preserve"> be used as a means to reduce total rate shock caused by the high PX market-clearing price.</w:t>
      </w:r>
    </w:p>
    <w:p>
      <w:pPr>
        <w:pStyle w:val="BodyTextIndent"/>
        <w:spacing w:before="0" w:after="0"/>
        <w:rPr/>
      </w:pPr>
      <w:r>
        <w:rPr/>
        <w:t xml:space="preserve">Shifting a regulated utility’s cost in an effort to control a classes’ total rate, which consist of a mixture of regulated and the deregulated functional components, is the wrong solution.  The PX market-clearing price is market driven and independent from the distribution function.  Therefore, ORA is cautious in recommending capped-EPMC for distribution allocation.  ORA analyzed distribution and total rate impact based on full or capped-EPMC.  Using capped-EPMC, ORA was able to analyze the total rate impact from a range of PX market clearing prices, i.e., from 3.0 cents to 10.0 cents per kWh.  Additionally, ORA was able to identify the changes in the total post-freeze rates using EPMC and different PX market clearing prices. </w:t>
      </w:r>
    </w:p>
    <w:p>
      <w:pPr>
        <w:pStyle w:val="BodyTextIndent"/>
        <w:spacing w:before="0" w:after="0"/>
        <w:rPr/>
      </w:pPr>
      <w:r>
        <w:rPr/>
        <w:t>Table Nos. 4-10 and 4-11 compare distribution revenue and rates for each class based on ORA’s full EPMC and recommended 15 percent capped-EPMC factors and PG&amp;E’s proposed distribution revenues with and without agricultural class consolidation.</w:t>
      </w:r>
    </w:p>
    <w:p>
      <w:pPr>
        <w:pStyle w:val="Heading2"/>
        <w:spacing w:lineRule="auto" w:line="360" w:before="0" w:after="0"/>
        <w:ind w:hanging="0" w:start="0"/>
        <w:jc w:val="start"/>
        <w:rPr/>
      </w:pPr>
      <w:r>
        <w:rPr>
          <w:rFonts w:cs="Times New Roman" w:ascii="Times New Roman" w:hAnsi="Times New Roman"/>
          <w:b w:val="false"/>
        </w:rPr>
        <w:t>4.5.1</w:t>
        <w:tab/>
      </w:r>
      <w:r>
        <w:rPr>
          <w:rFonts w:cs="Times New Roman" w:ascii="Times New Roman" w:hAnsi="Times New Roman"/>
          <w:b w:val="false"/>
          <w:u w:val="single"/>
        </w:rPr>
        <w:t>Non-Allocated Distribution Revenues</w:t>
      </w:r>
    </w:p>
    <w:p>
      <w:pPr>
        <w:pStyle w:val="BodyTextIndent"/>
        <w:spacing w:before="0" w:after="0"/>
        <w:rPr/>
      </w:pPr>
      <w:r>
        <w:rPr/>
        <w:t>Non-allocated distribution revenues are charged directly to a particular rate schedule.  Non-allocated distribution revenues reduce EPMC allocated revenue.  Non-allocated distribution revenues include: optional Time of Use (“TOU”) meter charges, streetlighting miscellaneous revenues, special facility charges, standby meter charges and other revenues, and master-meter discounts.</w:t>
      </w:r>
    </w:p>
    <w:p>
      <w:pPr>
        <w:pStyle w:val="BodyTextIndent"/>
        <w:spacing w:before="0" w:after="0"/>
        <w:rPr/>
      </w:pPr>
      <w:r>
        <w:rPr/>
        <w:t xml:space="preserve">The above charge categories seem to be consistent with the adopted revenue allocation from past decisions.  ORA has no issues relating to the calculation of non-allocated distribution revenues. </w:t>
      </w:r>
    </w:p>
    <w:p>
      <w:pPr>
        <w:pStyle w:val="Heading4"/>
        <w:ind w:hanging="0" w:start="0"/>
        <w:jc w:val="start"/>
        <w:rPr>
          <w:b w:val="false"/>
          <w:sz w:val="24"/>
        </w:rPr>
      </w:pPr>
      <w:r>
        <w:rPr>
          <w:b w:val="false"/>
          <w:sz w:val="24"/>
        </w:rPr>
        <w:t>4.5.2</w:t>
        <w:tab/>
      </w:r>
      <w:r>
        <w:rPr>
          <w:b w:val="false"/>
          <w:sz w:val="24"/>
          <w:u w:val="single"/>
        </w:rPr>
        <w:t>Standby Allocation</w:t>
      </w:r>
    </w:p>
    <w:p>
      <w:pPr>
        <w:pStyle w:val="BodyTextIndent"/>
        <w:spacing w:before="0" w:after="0"/>
        <w:rPr/>
      </w:pPr>
      <w:r>
        <w:rPr/>
        <w:t xml:space="preserve">PG&amp;E’s standby allocation is driven by their standby rate design proposal, which is based on Schedule E-20 rates.  The interim standby capacity charges are allocated by a method of approximating the marginal cost revenues for standby class based on 38 percent of Schedule E-20’s marginal cost revenues.  Standby rate design is addressed in Section 6.2.6, Standby and Bypass Rates.  ORA has no issues with the standby allocation. </w:t>
      </w:r>
    </w:p>
    <w:p>
      <w:pPr>
        <w:pStyle w:val="BodyTextIndent"/>
        <w:numPr>
          <w:ilvl w:val="1"/>
          <w:numId w:val="29"/>
        </w:numPr>
        <w:spacing w:before="0" w:after="0"/>
        <w:rPr>
          <w:b/>
          <w:u w:val="single"/>
        </w:rPr>
      </w:pPr>
      <w:r>
        <w:rPr>
          <w:b/>
          <w:u w:val="single"/>
        </w:rPr>
        <w:t>CTC, PPP, and ND Allocation</w:t>
      </w:r>
    </w:p>
    <w:p>
      <w:pPr>
        <w:pStyle w:val="BodyTextIndent"/>
        <w:spacing w:before="0" w:after="0"/>
        <w:rPr/>
      </w:pPr>
      <w:r>
        <w:rPr/>
        <w:t>The Phase II of PTR proceeding, A.99-01-016 et al.  Addressed the allocation of PPP, ND, and CTC revenue requirement.  D.00-06-034 adopted a new 100 hour allocation methodology for on-going transition costs, an equal cents per kW allocation for the CARE PPP and ND, and a system average percent (“SAP”) change allocation for non-CARE PPP revenue requirement.</w:t>
      </w:r>
    </w:p>
    <w:p>
      <w:pPr>
        <w:pStyle w:val="BodyTextIndent"/>
        <w:spacing w:before="0" w:after="0"/>
        <w:rPr/>
      </w:pPr>
      <w:r>
        <w:rPr/>
        <w:t xml:space="preserve">In Exh. PG&amp;E-3, PG&amp;E provides its implementation and illustration of the adopted methodologies to allocate the ongoing CTC, PPP, and ND revenues. </w:t>
      </w:r>
    </w:p>
    <w:p>
      <w:pPr>
        <w:pStyle w:val="BodyTextIndent"/>
        <w:spacing w:before="0" w:after="0"/>
        <w:ind w:hanging="0" w:end="0"/>
        <w:rPr/>
      </w:pPr>
      <w:r>
        <w:rPr/>
        <w:t>4.6.1</w:t>
        <w:tab/>
      </w:r>
      <w:r>
        <w:rPr>
          <w:u w:val="single"/>
        </w:rPr>
        <w:t>Allocation of CTC</w:t>
      </w:r>
    </w:p>
    <w:p>
      <w:pPr>
        <w:pStyle w:val="BodyTextIndent"/>
        <w:spacing w:before="0" w:after="0"/>
        <w:rPr/>
      </w:pPr>
      <w:r>
        <w:rPr/>
        <w:t>PG&amp;E proposes to allocate the ongoing CTC using the top 100 hours methodology.  In D. 00-06-034, the Commission adopted the top 100 hours methodology for allocating ongoing CTC revenue.  In that decision, the Commission ordered PG&amp;E to file an updated application in this proceeding to implement the top 100 hours methodology for allocating CTC.  The Commission stated:</w:t>
      </w:r>
    </w:p>
    <w:p>
      <w:pPr>
        <w:pStyle w:val="BodyTextIndent"/>
        <w:spacing w:lineRule="auto" w:line="240" w:before="0" w:after="0"/>
        <w:ind w:hanging="0" w:start="720" w:end="2232"/>
        <w:rPr/>
      </w:pPr>
      <w:r>
        <w:rPr/>
        <w:t>“</w:t>
      </w:r>
      <w:r>
        <w:rPr/>
        <w:t>(u)tilities should use the class average hourly load profile data used to calculate the PX credit (with a reasonable allocation to streetlighting and any other class without a calculable load profiles).  The data should be used to identify the top 100-demand hours for1998 and 1999 and identify the percentage allocation attributable to each class.  This percentage should be averaged over the two years, and ongoing transition costs should be allocated based on these averaged percentages by class.”</w:t>
      </w:r>
    </w:p>
    <w:p>
      <w:pPr>
        <w:pStyle w:val="BodyTextIndent"/>
        <w:spacing w:lineRule="auto" w:line="240" w:before="0" w:after="0"/>
        <w:ind w:hanging="0" w:start="720" w:end="2232"/>
        <w:rPr/>
      </w:pPr>
      <w:r>
        <w:rPr/>
      </w:r>
    </w:p>
    <w:p>
      <w:pPr>
        <w:pStyle w:val="BodyTextIndent"/>
        <w:spacing w:before="0" w:after="0"/>
        <w:rPr/>
      </w:pPr>
      <w:r>
        <w:rPr/>
        <w:t>In this proceeding, PG&amp;E developed the 100 top hour class loads using the same 1998 and 1999 class average load profile data they used to calculate the PX credits.  To determine the final CTC allocation factor, PG&amp;E scaled the 1998 and 1999 100 top hour class loads to the 1999 sales forecast.  PG&amp;E applied a scaling factor for each class to that class’s 1998 and 1999 top 100 hour loads.  PG&amp;E developed the scaling factor for each class using the ratio between the classes’ 1998 and 1999 recorded sales and the 1999 sales forecast.</w:t>
      </w:r>
    </w:p>
    <w:p>
      <w:pPr>
        <w:pStyle w:val="BodyTextIndent"/>
        <w:spacing w:before="0" w:after="0"/>
        <w:rPr/>
      </w:pPr>
      <w:r>
        <w:rPr/>
        <w:t>ORA objects to the scaling of 1999 top 100 hour class loads to determine the CTC allocation factor because it makes no sense to scale the recorded load data to the same year forecast.  Obviously, the 1999 forecast is different than the 1999 recorded data.  However, ORA does not object to the scaling of 1999 recorded load data to future years, e.g., Test Year 2000 or 2001 when a new adopted sales forecast is available prior to the end of rate freeze.  Therefore, to preserve the scaling mechanism and for the illustrative purpose, ORA did not change PG&amp;E’s CTC allocation.  Table No. 4-12 compares PG&amp;E and ORA’s CTC revenue for each customer class.</w:t>
      </w:r>
    </w:p>
    <w:p>
      <w:pPr>
        <w:pStyle w:val="BodyTextIndent"/>
        <w:spacing w:before="0" w:after="0"/>
        <w:ind w:hanging="0" w:end="0"/>
        <w:rPr/>
      </w:pPr>
      <w:r>
        <w:rPr/>
        <w:t>4.6.2</w:t>
        <w:tab/>
      </w:r>
      <w:r>
        <w:rPr>
          <w:u w:val="single"/>
        </w:rPr>
        <w:t>PPP and ND Allocation</w:t>
      </w:r>
    </w:p>
    <w:p>
      <w:pPr>
        <w:pStyle w:val="BodyTextIndent"/>
        <w:spacing w:before="0" w:after="0"/>
        <w:rPr/>
      </w:pPr>
      <w:r>
        <w:rPr/>
        <w:t>PG&amp;E allocates the non-CARE PPP revenue requirement to each customer class using the SAP methodology.  PG&amp;E allocates the CARE and ND revenues to each customer class on an equal cents per kWh basis.  PG&amp;E’s methodologies to allocate non-CARE, CARE PPP, and ND revenue are consistent with D.00-06-034.  Therefore, ORA has no issues with PG&amp;E’s proposal.  Table No. 4-12 compares ORA and PG&amp;E’s PPP and ND revenues for each customer class.  The difference between the two columns is caused by the CARE revenue, which is the CARE discount based on different proposed post-freeze total rates and proposed class definitions.</w:t>
      </w:r>
    </w:p>
    <w:p>
      <w:pPr>
        <w:pStyle w:val="Heading2"/>
        <w:spacing w:lineRule="auto" w:line="360" w:before="0" w:after="0"/>
        <w:ind w:hanging="0" w:start="0"/>
        <w:jc w:val="start"/>
        <w:rPr/>
      </w:pPr>
      <w:r>
        <w:rPr>
          <w:rFonts w:cs="Times New Roman" w:ascii="Times New Roman" w:hAnsi="Times New Roman"/>
          <w:b w:val="false"/>
        </w:rPr>
        <w:t>4.6.3</w:t>
        <w:tab/>
      </w:r>
      <w:r>
        <w:rPr>
          <w:rFonts w:cs="Times New Roman" w:ascii="Times New Roman" w:hAnsi="Times New Roman"/>
          <w:b w:val="false"/>
          <w:u w:val="single"/>
        </w:rPr>
        <w:t>Non-Firm Discounts Allocation</w:t>
      </w:r>
    </w:p>
    <w:p>
      <w:pPr>
        <w:pStyle w:val="BodyTextIndent"/>
        <w:spacing w:before="0" w:after="0"/>
        <w:rPr/>
      </w:pPr>
      <w:r>
        <w:rPr/>
        <w:t>In its March 31, 2000 Updated testimony, PG&amp;E proposes to include Schedules E-19 and E-20 non-firm discounts, or credits, as non-allocated CTC revenue.  The allocation of this discount is part of PTR, Phase II proceeding.  In D. 00-06-034, the Commission assigns the non-firm discounts to the distribution function.</w:t>
      </w:r>
      <w:r>
        <w:rPr>
          <w:rStyle w:val="FootnoteCharacters"/>
          <w:rStyle w:val="FootnoteReference"/>
        </w:rPr>
        <w:footnoteReference w:id="29"/>
      </w:r>
      <w:r>
        <w:rPr/>
        <w:t xml:space="preserve">  However, D.00-06-034 does not explicitly state whether it should be allocated to customer classes based on the same allocation factor for distribution revenue requirement.</w:t>
      </w:r>
    </w:p>
    <w:p>
      <w:pPr>
        <w:pStyle w:val="BodyTextIndent"/>
        <w:spacing w:before="0" w:after="0"/>
        <w:rPr/>
      </w:pPr>
      <w:r>
        <w:rPr/>
        <w:t xml:space="preserve">In Exh. PG&amp;E-3, PG&amp;E proposes to include the non-firm discount with the distribution function allocated based on SAP allocation methodology.  ORA finds PG&amp;E’s interpretation of D.00-06-034 reasonable for the purpose of this proceeding. </w:t>
      </w:r>
    </w:p>
    <w:p>
      <w:pPr>
        <w:pStyle w:val="BodyTextIndent"/>
        <w:spacing w:before="0" w:after="0"/>
        <w:rPr/>
      </w:pPr>
      <w:r>
        <w:rPr/>
        <w:t>The non-firm discounts are based on customers’ curtailed loads and energy.  ORA’s position in the PTR II proceeding was that non-firm discounts are generation-related.  The unbundling decision, D.97-08-056 also designated these costs as generation-related.  Either an equal cents per kWh or top 100-hour allocation would be most appropriate.  SAP methodology is acceptable alternative.</w:t>
      </w:r>
    </w:p>
    <w:p>
      <w:pPr>
        <w:pStyle w:val="BodyTextIndent"/>
        <w:spacing w:before="0" w:after="0"/>
        <w:rPr/>
      </w:pPr>
      <w:r>
        <w:rPr/>
        <w:t xml:space="preserve">ORA notes that the non-firm discount issue will expire after March 31, 2001.  The allocation issue exists if the rate-freeze ends early.  </w:t>
      </w:r>
    </w:p>
    <w:p>
      <w:pPr>
        <w:pStyle w:val="Heading2"/>
        <w:numPr>
          <w:ilvl w:val="1"/>
          <w:numId w:val="6"/>
        </w:numPr>
        <w:spacing w:lineRule="auto" w:line="360" w:before="0" w:after="0"/>
        <w:jc w:val="start"/>
        <w:rPr>
          <w:rFonts w:ascii="Times New Roman" w:hAnsi="Times New Roman" w:cs="Times New Roman"/>
          <w:u w:val="single"/>
        </w:rPr>
      </w:pPr>
      <w:r>
        <w:rPr>
          <w:rFonts w:cs="Times New Roman" w:ascii="Times New Roman" w:hAnsi="Times New Roman"/>
          <w:u w:val="single"/>
        </w:rPr>
        <w:t>Fixed Transition Amount and Rate Reduction Bond Memorandum Account Revenue Allocation</w:t>
      </w:r>
    </w:p>
    <w:p>
      <w:pPr>
        <w:pStyle w:val="BodyTextIndent"/>
        <w:spacing w:before="0" w:after="0"/>
        <w:rPr/>
      </w:pPr>
      <w:r>
        <w:rPr/>
        <w:t>PG&amp;E’s proposed Fixed Transition Amount (“FTA”) rates became effective January 1, 2000 pending a Commission resolution on AL 1942-E.  PG&amp;E’s calculation of the illustrative FTA revenues is based on the proposed FTA rates and the 1999 sales forecast for residential and small commercial customer classes.  PG&amp;E proposes to allocate the Rate Reduction Bond Memorandum Account (“RRB”) revenue requirement between residential and small commercial customer classes in proportion to each class’ estimated FTA.  ORA believes this method is reasonable.</w:t>
      </w:r>
    </w:p>
    <w:p>
      <w:pPr>
        <w:pStyle w:val="Heading2"/>
        <w:numPr>
          <w:ilvl w:val="1"/>
          <w:numId w:val="6"/>
        </w:numPr>
        <w:spacing w:lineRule="auto" w:line="360" w:before="0" w:after="0"/>
        <w:jc w:val="start"/>
        <w:rPr>
          <w:rFonts w:ascii="Times New Roman" w:hAnsi="Times New Roman" w:cs="Times New Roman"/>
          <w:u w:val="single"/>
        </w:rPr>
      </w:pPr>
      <w:r>
        <w:rPr>
          <w:rFonts w:cs="Times New Roman" w:ascii="Times New Roman" w:hAnsi="Times New Roman"/>
          <w:u w:val="single"/>
        </w:rPr>
        <w:t>Restructuring Implementation Cost Allocation</w:t>
      </w:r>
    </w:p>
    <w:p>
      <w:pPr>
        <w:pStyle w:val="BodyTextIndent"/>
        <w:spacing w:before="0" w:after="0"/>
        <w:rPr/>
      </w:pPr>
      <w:r>
        <w:rPr/>
        <w:t>D.00-06-034 adopts the same allocation methodology as ongoing CTC for Section 376 restructuring implementation costs (displaced CTC).  Although this decision does not address the allocation for non-376 restructuring implementation costs, presumably allocation methodology for displaced CTC applies to non-376 restructuring implementation as well.  PG&amp;E’s filing does not propose an allocation methodology for restructuring implementation costs.</w:t>
      </w:r>
    </w:p>
    <w:p>
      <w:pPr>
        <w:pStyle w:val="BodyTextIndent"/>
        <w:spacing w:before="0" w:after="0"/>
        <w:rPr/>
      </w:pPr>
      <w:r>
        <w:rPr/>
        <w:t>Displaced CTC occurs if PG&amp;E is unable to recover its CTC by March 31, 2002, which is uncertain.  Displaced CTC would then become part of the ongoing CTC revenue.  Ongoing CTC would be updated prior to the end of the rate freeze.  Pending the outcome of A.00-07-013, the allocation of non-376 restructuring may not be an issue if PG&amp;E recovers its ERCA revenue prior to the end of the rate freeze through TRA mechanism.  Therefore, in this chapter, ORA provides a scenario to illustrate the rate impact in 2001 revenue increase requested in A.00-07-013 is allocated based on CTC top 100 hour methodology.</w:t>
      </w:r>
    </w:p>
    <w:p>
      <w:pPr>
        <w:pStyle w:val="Heading2"/>
        <w:numPr>
          <w:ilvl w:val="1"/>
          <w:numId w:val="6"/>
        </w:numPr>
        <w:spacing w:lineRule="auto" w:line="360" w:before="0" w:after="0"/>
        <w:jc w:val="start"/>
        <w:rPr>
          <w:rFonts w:ascii="Times New Roman" w:hAnsi="Times New Roman" w:cs="Times New Roman"/>
          <w:u w:val="single"/>
        </w:rPr>
      </w:pPr>
      <w:r>
        <w:rPr>
          <w:rFonts w:cs="Times New Roman" w:ascii="Times New Roman" w:hAnsi="Times New Roman"/>
          <w:u w:val="single"/>
        </w:rPr>
        <w:t>Transmission and Reliability Must-Run Revenue Allocation</w:t>
      </w:r>
    </w:p>
    <w:p>
      <w:pPr>
        <w:pStyle w:val="BodyTextIndent"/>
        <w:spacing w:before="0" w:after="0"/>
        <w:rPr/>
      </w:pPr>
      <w:r>
        <w:rPr/>
        <w:t>Transmission and Reliability Must-Run</w:t>
      </w:r>
      <w:r>
        <w:rPr>
          <w:b/>
          <w:u w:val="single"/>
        </w:rPr>
        <w:t xml:space="preserve"> </w:t>
      </w:r>
      <w:r>
        <w:rPr/>
        <w:t>(“RMR”) rates are under FERC jurisdiction.  PG&amp;E’s proposed illustrative allocation for transmission revenue requirement is calculated based on FERC approval of PG&amp;E’s proposed transmission rates.  These rates were effective April 1, 2000, subject to refund and 1999 sales forecast.  PG&amp;E’s proposed illustrative transmission revenue allocation were based on the 12 coincident peak (12 CP) methodology used by FERC.  ORA believes that PG&amp;E’s method to calculate the illustrative transmission revenue allocation is reasonable.</w:t>
      </w:r>
    </w:p>
    <w:p>
      <w:pPr>
        <w:pStyle w:val="BodyTextIndent"/>
        <w:spacing w:before="0" w:after="0"/>
        <w:rPr/>
      </w:pPr>
      <w:r>
        <w:rPr/>
        <w:t>Similarly, PG&amp;E’s illustrative RMR revenue allocation was based on what PG&amp;E anticipated filing at FERC.  This was too based on FERC’s 12 CP methodology.  Therefore, ORA has no issue with PG&amp;E’s RMR revenue allocation.</w:t>
      </w:r>
    </w:p>
    <w:p>
      <w:pPr>
        <w:pStyle w:val="Heading2"/>
        <w:spacing w:lineRule="auto" w:line="360" w:before="0" w:after="0"/>
        <w:ind w:hanging="0" w:start="0"/>
        <w:jc w:val="both"/>
        <w:rPr/>
      </w:pPr>
      <w:r>
        <w:rPr>
          <w:rFonts w:cs="Times New Roman" w:ascii="Times New Roman" w:hAnsi="Times New Roman"/>
        </w:rPr>
        <w:t>4.10</w:t>
        <w:tab/>
      </w:r>
      <w:r>
        <w:rPr>
          <w:rFonts w:cs="Times New Roman" w:ascii="Times New Roman" w:hAnsi="Times New Roman"/>
          <w:u w:val="single"/>
        </w:rPr>
        <w:t>Recommendation</w:t>
      </w:r>
    </w:p>
    <w:p>
      <w:pPr>
        <w:pStyle w:val="BodyTextIndent"/>
        <w:spacing w:before="0" w:after="0"/>
        <w:rPr/>
      </w:pPr>
      <w:r>
        <w:rPr/>
        <w:t>ORA recommends a 15 percent capped-EPMC for distribution revenue allocation based on demand-related and customer marginal costs.  As recommended in chapter 3, ORA recommends an alternate EPMC methodology, which is based on demand-related MC only.  ORA recommends scaling the 1998 and 1999 top 100 hour to future year sales forecast, 2000 or 2001 when available to determine the final CTC allocation factor.  ORA agrees with PG&amp;E and recommends an equal cents per kWh for CARE and ND allocation and SAP for PPP and nonfirm discounts.  ORA recommends the Commission require PG&amp;E to provide an update and estimate of potential increase in distribution revenue requirement for 2001.  PG&amp;E’s illustrative total rates should reflect the potential changes.</w:t>
      </w:r>
    </w:p>
    <w:p>
      <w:pPr>
        <w:pStyle w:val="BodyTextIndent"/>
        <w:spacing w:before="0" w:after="0"/>
        <w:rPr/>
      </w:pPr>
      <w:r>
        <w:rPr/>
        <w:t>Table Nos. 4-13 through 4-15 provide a comparison of present rates with PG&amp;E and ORA’s illustrative class revenue shares, post-freeze total average rates, and total percent change.  Table No. 4-16 displays a list of ORA’s updated and estimated potential increases in the revenue requirement for 2001.  ORA does not include these changes in its base case as shown in Table No. 4-3.  Table No. 4-17 provides ORA’s illustrative functional revenues and total rates reflecting potential changes in the distribution revenue requirement for 2001 as identified in Table No. 4-16.</w:t>
      </w:r>
      <w:r>
        <w:br w:type="page"/>
      </w:r>
    </w:p>
    <w:p>
      <w:pPr>
        <w:pStyle w:val="Table"/>
        <w:jc w:val="center"/>
        <w:rPr>
          <w:b/>
          <w:caps/>
          <w:sz w:val="28"/>
          <w:u w:val="single"/>
        </w:rPr>
      </w:pPr>
      <w:r>
        <w:rPr>
          <w:b/>
          <w:caps/>
          <w:sz w:val="28"/>
          <w:u w:val="single"/>
        </w:rPr>
        <w:t>TABLE 4-1</w:t>
      </w:r>
    </w:p>
    <w:p>
      <w:pPr>
        <w:pStyle w:val="Table"/>
        <w:jc w:val="center"/>
        <w:rPr>
          <w:b/>
          <w:sz w:val="28"/>
          <w:u w:val="single"/>
        </w:rPr>
      </w:pPr>
      <w:r>
        <w:rPr>
          <w:b/>
          <w:sz w:val="28"/>
        </w:rPr>
        <w:br/>
      </w:r>
      <w:r>
        <w:rPr>
          <w:b/>
          <w:caps/>
          <w:sz w:val="28"/>
          <w:u w:val="single"/>
        </w:rPr>
        <w:t>Comparison of Class definition</w:t>
      </w:r>
    </w:p>
    <w:p>
      <w:pPr>
        <w:pStyle w:val="Table"/>
        <w:rPr>
          <w:b/>
          <w:sz w:val="28"/>
          <w:u w:val="single"/>
        </w:rPr>
      </w:pPr>
      <w:r>
        <w:rPr>
          <w:b/>
          <w:sz w:val="28"/>
          <w:u w:val="single"/>
        </w:rPr>
      </w:r>
    </w:p>
    <w:tbl>
      <w:tblPr>
        <w:tblW w:w="10403" w:type="dxa"/>
        <w:jc w:val="center"/>
        <w:tblInd w:w="0" w:type="dxa"/>
        <w:tblLayout w:type="fixed"/>
        <w:tblCellMar>
          <w:top w:w="0" w:type="dxa"/>
          <w:start w:w="108" w:type="dxa"/>
          <w:bottom w:w="0" w:type="dxa"/>
          <w:end w:w="108" w:type="dxa"/>
        </w:tblCellMar>
      </w:tblPr>
      <w:tblGrid>
        <w:gridCol w:w="2433"/>
        <w:gridCol w:w="3240"/>
        <w:gridCol w:w="2436"/>
        <w:gridCol w:w="2294"/>
      </w:tblGrid>
      <w:tr>
        <w:trPr/>
        <w:tc>
          <w:tcPr>
            <w:tcW w:w="2433" w:type="dxa"/>
            <w:tcBorders>
              <w:top w:val="single" w:sz="12" w:space="0" w:color="000000"/>
              <w:start w:val="single" w:sz="12" w:space="0" w:color="000000"/>
              <w:bottom w:val="single" w:sz="6" w:space="0" w:color="000000"/>
              <w:end w:val="single" w:sz="6" w:space="0" w:color="000000"/>
            </w:tcBorders>
            <w:shd w:fill="D8D8D8" w:val="clear"/>
          </w:tcPr>
          <w:p>
            <w:pPr>
              <w:pStyle w:val="Table"/>
              <w:jc w:val="center"/>
              <w:rPr>
                <w:b/>
              </w:rPr>
            </w:pPr>
            <w:r>
              <w:rPr>
                <w:b/>
              </w:rPr>
              <w:t>Rate Class</w:t>
            </w:r>
          </w:p>
        </w:tc>
        <w:tc>
          <w:tcPr>
            <w:tcW w:w="3240" w:type="dxa"/>
            <w:tcBorders>
              <w:top w:val="single" w:sz="12" w:space="0" w:color="000000"/>
              <w:start w:val="single" w:sz="6" w:space="0" w:color="000000"/>
              <w:bottom w:val="single" w:sz="6" w:space="0" w:color="000000"/>
              <w:end w:val="single" w:sz="6" w:space="0" w:color="000000"/>
            </w:tcBorders>
            <w:shd w:fill="D8D8D8" w:val="clear"/>
          </w:tcPr>
          <w:p>
            <w:pPr>
              <w:pStyle w:val="Table"/>
              <w:jc w:val="center"/>
              <w:rPr>
                <w:b/>
              </w:rPr>
            </w:pPr>
            <w:r>
              <w:rPr>
                <w:b/>
              </w:rPr>
              <w:t>Current Schedules</w:t>
            </w:r>
          </w:p>
        </w:tc>
        <w:tc>
          <w:tcPr>
            <w:tcW w:w="2436" w:type="dxa"/>
            <w:tcBorders>
              <w:top w:val="single" w:sz="12" w:space="0" w:color="000000"/>
              <w:start w:val="single" w:sz="6" w:space="0" w:color="000000"/>
              <w:bottom w:val="single" w:sz="6" w:space="0" w:color="000000"/>
              <w:end w:val="single" w:sz="6" w:space="0" w:color="000000"/>
            </w:tcBorders>
            <w:shd w:fill="D8D8D8" w:val="clear"/>
          </w:tcPr>
          <w:p>
            <w:pPr>
              <w:pStyle w:val="Table"/>
              <w:jc w:val="center"/>
              <w:rPr>
                <w:b/>
              </w:rPr>
            </w:pPr>
            <w:r>
              <w:rPr>
                <w:b/>
              </w:rPr>
              <w:t>PG&amp;E’s</w:t>
            </w:r>
          </w:p>
          <w:p>
            <w:pPr>
              <w:pStyle w:val="Table"/>
              <w:jc w:val="center"/>
              <w:rPr>
                <w:b/>
              </w:rPr>
            </w:pPr>
            <w:r>
              <w:rPr>
                <w:b/>
              </w:rPr>
              <w:t>Proposed Schedules</w:t>
            </w:r>
          </w:p>
        </w:tc>
        <w:tc>
          <w:tcPr>
            <w:tcW w:w="2294" w:type="dxa"/>
            <w:tcBorders>
              <w:top w:val="single" w:sz="12" w:space="0" w:color="000000"/>
              <w:start w:val="single" w:sz="6" w:space="0" w:color="000000"/>
              <w:bottom w:val="single" w:sz="6" w:space="0" w:color="000000"/>
              <w:end w:val="single" w:sz="12" w:space="0" w:color="000000"/>
            </w:tcBorders>
            <w:shd w:fill="D8D8D8" w:val="clear"/>
          </w:tcPr>
          <w:p>
            <w:pPr>
              <w:pStyle w:val="Table"/>
              <w:jc w:val="center"/>
              <w:rPr>
                <w:b/>
              </w:rPr>
            </w:pPr>
            <w:r>
              <w:rPr>
                <w:b/>
              </w:rPr>
              <w:t>ORA’s</w:t>
            </w:r>
          </w:p>
          <w:p>
            <w:pPr>
              <w:pStyle w:val="Table"/>
              <w:jc w:val="center"/>
              <w:rPr>
                <w:b/>
              </w:rPr>
            </w:pPr>
            <w:r>
              <w:rPr>
                <w:b/>
              </w:rPr>
              <w:t>Proposed Schedules</w:t>
            </w:r>
          </w:p>
        </w:tc>
      </w:tr>
      <w:tr>
        <w:trPr/>
        <w:tc>
          <w:tcPr>
            <w:tcW w:w="2433" w:type="dxa"/>
            <w:tcBorders>
              <w:start w:val="single" w:sz="12" w:space="0" w:color="000000"/>
              <w:bottom w:val="single" w:sz="6" w:space="0" w:color="000000"/>
              <w:end w:val="single" w:sz="6" w:space="0" w:color="000000"/>
            </w:tcBorders>
          </w:tcPr>
          <w:p>
            <w:pPr>
              <w:pStyle w:val="Table"/>
              <w:rPr>
                <w:sz w:val="21"/>
              </w:rPr>
            </w:pPr>
            <w:r>
              <w:rPr>
                <w:sz w:val="21"/>
              </w:rPr>
              <w:t>Residential</w:t>
            </w:r>
          </w:p>
        </w:tc>
        <w:tc>
          <w:tcPr>
            <w:tcW w:w="3240" w:type="dxa"/>
            <w:tcBorders>
              <w:start w:val="single" w:sz="6" w:space="0" w:color="000000"/>
              <w:bottom w:val="single" w:sz="6" w:space="0" w:color="000000"/>
              <w:end w:val="single" w:sz="6" w:space="0" w:color="000000"/>
            </w:tcBorders>
          </w:tcPr>
          <w:p>
            <w:pPr>
              <w:pStyle w:val="Table"/>
              <w:rPr>
                <w:sz w:val="21"/>
              </w:rPr>
            </w:pPr>
            <w:r>
              <w:rPr>
                <w:sz w:val="21"/>
              </w:rPr>
              <w:t>E-1, E-7, E-A7, E-8, E-9</w:t>
              <w:br/>
              <w:t>EL-1, EL-7, EL-A7, EL-8</w:t>
              <w:br/>
              <w:t>E-SEG</w:t>
              <w:br/>
              <w:t>ES, ET, EM, ESR</w:t>
              <w:br/>
              <w:t>ESL, ETL, EML, ESRL</w:t>
              <w:br/>
              <w:t>EE</w:t>
            </w:r>
          </w:p>
        </w:tc>
        <w:tc>
          <w:tcPr>
            <w:tcW w:w="2436" w:type="dxa"/>
            <w:tcBorders>
              <w:start w:val="single" w:sz="6" w:space="0" w:color="000000"/>
              <w:bottom w:val="single" w:sz="6" w:space="0" w:color="000000"/>
              <w:end w:val="single" w:sz="6" w:space="0" w:color="000000"/>
            </w:tcBorders>
          </w:tcPr>
          <w:p>
            <w:pPr>
              <w:pStyle w:val="Table"/>
              <w:rPr>
                <w:sz w:val="21"/>
              </w:rPr>
            </w:pPr>
            <w:r>
              <w:rPr>
                <w:sz w:val="21"/>
              </w:rPr>
              <w:t>E-1, E-7 (new), E-9</w:t>
              <w:br/>
              <w:t>EL-1</w:t>
              <w:br/>
              <w:t>E-SEG</w:t>
              <w:br/>
              <w:t>ES, ET, EM, ESR</w:t>
              <w:br/>
              <w:t>ESL, ETL, EML, ESRL</w:t>
              <w:br/>
              <w:t>EE</w:t>
            </w:r>
          </w:p>
        </w:tc>
        <w:tc>
          <w:tcPr>
            <w:tcW w:w="2294" w:type="dxa"/>
            <w:tcBorders>
              <w:start w:val="single" w:sz="6" w:space="0" w:color="000000"/>
              <w:bottom w:val="single" w:sz="6" w:space="0" w:color="000000"/>
              <w:end w:val="single" w:sz="12" w:space="0" w:color="000000"/>
            </w:tcBorders>
          </w:tcPr>
          <w:p>
            <w:pPr>
              <w:pStyle w:val="Table"/>
              <w:rPr>
                <w:sz w:val="21"/>
              </w:rPr>
            </w:pPr>
            <w:r>
              <w:rPr>
                <w:sz w:val="21"/>
              </w:rPr>
              <w:t>E-1, E-7 (new), E-9</w:t>
              <w:br/>
              <w:t>EL-1</w:t>
              <w:br/>
              <w:t>E-SEG</w:t>
              <w:br/>
              <w:t>ES, ET, EM, ESR</w:t>
              <w:br/>
              <w:t>ESL, ETL, EML, ESRL</w:t>
              <w:br/>
              <w:t>EE</w:t>
            </w:r>
          </w:p>
        </w:tc>
      </w:tr>
      <w:tr>
        <w:trPr/>
        <w:tc>
          <w:tcPr>
            <w:tcW w:w="2433" w:type="dxa"/>
            <w:tcBorders>
              <w:top w:val="single" w:sz="6" w:space="0" w:color="000000"/>
              <w:start w:val="single" w:sz="12" w:space="0" w:color="000000"/>
              <w:bottom w:val="single" w:sz="6" w:space="0" w:color="000000"/>
              <w:end w:val="single" w:sz="6" w:space="0" w:color="000000"/>
            </w:tcBorders>
          </w:tcPr>
          <w:p>
            <w:pPr>
              <w:pStyle w:val="Table"/>
              <w:rPr>
                <w:sz w:val="21"/>
              </w:rPr>
            </w:pPr>
            <w:r>
              <w:rPr>
                <w:sz w:val="21"/>
              </w:rPr>
              <w:t>Small Light and Power</w:t>
            </w:r>
          </w:p>
        </w:tc>
        <w:tc>
          <w:tcPr>
            <w:tcW w:w="3240"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A-1, A-6, A-15, AG-1A, AG-RA, AG-VA, AG-4A, AG-5A, AG-6A, AG-7A, and agricultural accounts with maximum demand less than 100 kW and annual usage is less than 30,000 kWh on AG</w:t>
              <w:noBreakHyphen/>
              <w:t>1B, AG-RB, AG-VB, AG</w:t>
              <w:noBreakHyphen/>
              <w:t>4B, AG-4C, AG-5B, AG</w:t>
              <w:noBreakHyphen/>
              <w:t>5C, AG-6B, and AG-7B</w:t>
              <w:br/>
              <w:t>E-36</w:t>
              <w:br/>
              <w:t>TC-1</w:t>
            </w:r>
          </w:p>
        </w:tc>
        <w:tc>
          <w:tcPr>
            <w:tcW w:w="2436"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A-1, A-6</w:t>
              <w:br/>
              <w:br/>
              <w:br/>
              <w:br/>
              <w:t>A-7, A-8</w:t>
              <w:br/>
              <w:br/>
              <w:br/>
              <w:br/>
              <w:t>E-36</w:t>
            </w:r>
          </w:p>
          <w:p>
            <w:pPr>
              <w:pStyle w:val="Table"/>
              <w:rPr>
                <w:sz w:val="21"/>
              </w:rPr>
            </w:pPr>
            <w:r>
              <w:rPr>
                <w:sz w:val="21"/>
              </w:rPr>
              <w:t>TC-1</w:t>
            </w:r>
          </w:p>
        </w:tc>
        <w:tc>
          <w:tcPr>
            <w:tcW w:w="2294" w:type="dxa"/>
            <w:tcBorders>
              <w:top w:val="single" w:sz="6" w:space="0" w:color="000000"/>
              <w:start w:val="single" w:sz="6" w:space="0" w:color="000000"/>
              <w:bottom w:val="single" w:sz="6" w:space="0" w:color="000000"/>
              <w:end w:val="single" w:sz="12" w:space="0" w:color="000000"/>
            </w:tcBorders>
          </w:tcPr>
          <w:p>
            <w:pPr>
              <w:pStyle w:val="Table"/>
              <w:rPr>
                <w:sz w:val="21"/>
              </w:rPr>
            </w:pPr>
            <w:r>
              <w:rPr>
                <w:sz w:val="21"/>
              </w:rPr>
              <w:t>A-1, A-6, A-15</w:t>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br/>
              <w:br/>
            </w:r>
          </w:p>
          <w:p>
            <w:pPr>
              <w:pStyle w:val="Table"/>
              <w:rPr>
                <w:sz w:val="21"/>
              </w:rPr>
            </w:pPr>
            <w:r>
              <w:rPr>
                <w:sz w:val="21"/>
              </w:rPr>
            </w:r>
          </w:p>
          <w:p>
            <w:pPr>
              <w:pStyle w:val="Table"/>
              <w:rPr>
                <w:sz w:val="21"/>
              </w:rPr>
            </w:pPr>
            <w:r>
              <w:rPr>
                <w:sz w:val="21"/>
              </w:rPr>
              <w:t>E-36</w:t>
            </w:r>
          </w:p>
          <w:p>
            <w:pPr>
              <w:pStyle w:val="Table"/>
              <w:rPr>
                <w:sz w:val="21"/>
              </w:rPr>
            </w:pPr>
            <w:r>
              <w:rPr>
                <w:sz w:val="21"/>
              </w:rPr>
              <w:t>TC-1</w:t>
            </w:r>
          </w:p>
        </w:tc>
      </w:tr>
      <w:tr>
        <w:trPr/>
        <w:tc>
          <w:tcPr>
            <w:tcW w:w="2433" w:type="dxa"/>
            <w:tcBorders>
              <w:top w:val="single" w:sz="6" w:space="0" w:color="000000"/>
              <w:start w:val="single" w:sz="12" w:space="0" w:color="000000"/>
              <w:bottom w:val="single" w:sz="6" w:space="0" w:color="000000"/>
              <w:end w:val="single" w:sz="6" w:space="0" w:color="000000"/>
            </w:tcBorders>
          </w:tcPr>
          <w:p>
            <w:pPr>
              <w:pStyle w:val="Table"/>
              <w:rPr>
                <w:sz w:val="21"/>
              </w:rPr>
            </w:pPr>
            <w:r>
              <w:rPr>
                <w:sz w:val="21"/>
              </w:rPr>
              <w:t>Medium Light and Power</w:t>
            </w:r>
          </w:p>
        </w:tc>
        <w:tc>
          <w:tcPr>
            <w:tcW w:w="3240"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A-10, E-19 V and agricultural accounts with maximum demand less than 100 kW and annual usage is greater than 30,000 kWh on AG-1B, AG-RB, AG-VB, AG-4B, AG</w:t>
              <w:noBreakHyphen/>
              <w:t>4C, AG-5B, AG-5C, AG</w:t>
              <w:noBreakHyphen/>
              <w:t>6B, and AG-7B</w:t>
            </w:r>
          </w:p>
          <w:p>
            <w:pPr>
              <w:pStyle w:val="Table"/>
              <w:rPr>
                <w:sz w:val="21"/>
              </w:rPr>
            </w:pPr>
            <w:r>
              <w:rPr>
                <w:sz w:val="21"/>
              </w:rPr>
              <w:t xml:space="preserve">E-37 </w:t>
            </w:r>
          </w:p>
        </w:tc>
        <w:tc>
          <w:tcPr>
            <w:tcW w:w="2436"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A-10, A-14</w:t>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t>E-37</w:t>
            </w:r>
          </w:p>
        </w:tc>
        <w:tc>
          <w:tcPr>
            <w:tcW w:w="2294" w:type="dxa"/>
            <w:tcBorders>
              <w:top w:val="single" w:sz="6" w:space="0" w:color="000000"/>
              <w:start w:val="single" w:sz="6" w:space="0" w:color="000000"/>
              <w:bottom w:val="single" w:sz="6" w:space="0" w:color="000000"/>
              <w:end w:val="single" w:sz="12" w:space="0" w:color="000000"/>
            </w:tcBorders>
          </w:tcPr>
          <w:p>
            <w:pPr>
              <w:pStyle w:val="Table"/>
              <w:rPr>
                <w:sz w:val="21"/>
              </w:rPr>
            </w:pPr>
            <w:r>
              <w:rPr>
                <w:sz w:val="21"/>
              </w:rPr>
              <w:t>A-10, E-19 V</w:t>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t>E-37</w:t>
            </w:r>
          </w:p>
        </w:tc>
      </w:tr>
      <w:tr>
        <w:trPr/>
        <w:tc>
          <w:tcPr>
            <w:tcW w:w="2433" w:type="dxa"/>
            <w:tcBorders>
              <w:top w:val="single" w:sz="6" w:space="0" w:color="000000"/>
              <w:start w:val="single" w:sz="12" w:space="0" w:color="000000"/>
              <w:bottom w:val="single" w:sz="6" w:space="0" w:color="000000"/>
              <w:end w:val="single" w:sz="6" w:space="0" w:color="000000"/>
            </w:tcBorders>
          </w:tcPr>
          <w:p>
            <w:pPr>
              <w:pStyle w:val="Table"/>
              <w:rPr>
                <w:sz w:val="21"/>
              </w:rPr>
            </w:pPr>
            <w:r>
              <w:rPr>
                <w:sz w:val="21"/>
              </w:rPr>
              <w:t>Large Agriculture</w:t>
            </w:r>
          </w:p>
        </w:tc>
        <w:tc>
          <w:tcPr>
            <w:tcW w:w="3240"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Agricultural accounts with maximum demand greater than 100 kW on AG-1B, AG</w:t>
              <w:noBreakHyphen/>
              <w:t>RB, AG-VB, AG-4B, AG</w:t>
              <w:noBreakHyphen/>
              <w:t>4C, AG-5B, AG-5C, AG</w:t>
              <w:noBreakHyphen/>
              <w:t>6B, and AG-7B</w:t>
            </w:r>
          </w:p>
        </w:tc>
        <w:tc>
          <w:tcPr>
            <w:tcW w:w="2436"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AG-5</w:t>
            </w:r>
          </w:p>
        </w:tc>
        <w:tc>
          <w:tcPr>
            <w:tcW w:w="2294" w:type="dxa"/>
            <w:tcBorders>
              <w:top w:val="single" w:sz="6" w:space="0" w:color="000000"/>
              <w:start w:val="single" w:sz="6" w:space="0" w:color="000000"/>
              <w:bottom w:val="single" w:sz="6" w:space="0" w:color="000000"/>
              <w:end w:val="single" w:sz="12" w:space="0" w:color="000000"/>
            </w:tcBorders>
          </w:tcPr>
          <w:p>
            <w:pPr>
              <w:pStyle w:val="Table"/>
              <w:rPr>
                <w:sz w:val="21"/>
              </w:rPr>
            </w:pPr>
            <w:r>
              <w:rPr>
                <w:sz w:val="21"/>
              </w:rPr>
              <w:t>AG-1A, AG-RA, AG-VA, AG-4A, AG-5A, AG-6A, AG-7A, AG-1B, AG</w:t>
              <w:noBreakHyphen/>
              <w:t>RB, AG-VB, AG-4B, AG</w:t>
              <w:noBreakHyphen/>
              <w:t>4C, AG-5B, AG-5C, AG</w:t>
              <w:noBreakHyphen/>
              <w:t>6B, AG-7B</w:t>
            </w:r>
          </w:p>
        </w:tc>
      </w:tr>
      <w:tr>
        <w:trPr/>
        <w:tc>
          <w:tcPr>
            <w:tcW w:w="2433" w:type="dxa"/>
            <w:tcBorders>
              <w:top w:val="single" w:sz="6" w:space="0" w:color="000000"/>
              <w:start w:val="single" w:sz="12" w:space="0" w:color="000000"/>
              <w:bottom w:val="single" w:sz="6" w:space="0" w:color="000000"/>
              <w:end w:val="single" w:sz="6" w:space="0" w:color="000000"/>
            </w:tcBorders>
          </w:tcPr>
          <w:p>
            <w:pPr>
              <w:pStyle w:val="Table"/>
              <w:rPr>
                <w:sz w:val="21"/>
              </w:rPr>
            </w:pPr>
            <w:r>
              <w:rPr>
                <w:sz w:val="21"/>
              </w:rPr>
              <w:t>Large Light and Power</w:t>
            </w:r>
          </w:p>
        </w:tc>
        <w:tc>
          <w:tcPr>
            <w:tcW w:w="3240"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E-19, E-25 and RTP accounts with maximum demands less than 1,000 kW</w:t>
              <w:br/>
              <w:br/>
              <w:t>E-20, E-25 and RTP accounts with maximum demands 1,000 kW or greater</w:t>
            </w:r>
          </w:p>
        </w:tc>
        <w:tc>
          <w:tcPr>
            <w:tcW w:w="2436" w:type="dxa"/>
            <w:tcBorders>
              <w:top w:val="single" w:sz="6" w:space="0" w:color="000000"/>
              <w:start w:val="single" w:sz="6" w:space="0" w:color="000000"/>
              <w:bottom w:val="single" w:sz="6" w:space="0" w:color="000000"/>
              <w:end w:val="single" w:sz="6" w:space="0" w:color="000000"/>
            </w:tcBorders>
          </w:tcPr>
          <w:p>
            <w:pPr>
              <w:pStyle w:val="Table"/>
              <w:rPr>
                <w:sz w:val="21"/>
              </w:rPr>
            </w:pPr>
            <w:r>
              <w:rPr>
                <w:sz w:val="21"/>
              </w:rPr>
              <w:t>E-19</w:t>
              <w:br/>
              <w:br/>
              <w:br/>
              <w:br/>
              <w:t>E-20</w:t>
            </w:r>
          </w:p>
        </w:tc>
        <w:tc>
          <w:tcPr>
            <w:tcW w:w="2294" w:type="dxa"/>
            <w:tcBorders>
              <w:top w:val="single" w:sz="6" w:space="0" w:color="000000"/>
              <w:start w:val="single" w:sz="6" w:space="0" w:color="000000"/>
              <w:bottom w:val="single" w:sz="6" w:space="0" w:color="000000"/>
              <w:end w:val="single" w:sz="12" w:space="0" w:color="000000"/>
            </w:tcBorders>
          </w:tcPr>
          <w:p>
            <w:pPr>
              <w:pStyle w:val="Table"/>
              <w:rPr>
                <w:sz w:val="21"/>
              </w:rPr>
            </w:pPr>
            <w:r>
              <w:rPr>
                <w:sz w:val="21"/>
              </w:rPr>
              <w:t xml:space="preserve">E-19 </w:t>
            </w:r>
          </w:p>
          <w:p>
            <w:pPr>
              <w:pStyle w:val="Table"/>
              <w:rPr>
                <w:sz w:val="21"/>
              </w:rPr>
            </w:pPr>
            <w:r>
              <w:rPr>
                <w:sz w:val="21"/>
              </w:rPr>
            </w:r>
          </w:p>
          <w:p>
            <w:pPr>
              <w:pStyle w:val="Table"/>
              <w:rPr>
                <w:sz w:val="21"/>
              </w:rPr>
            </w:pPr>
            <w:r>
              <w:rPr>
                <w:sz w:val="21"/>
              </w:rPr>
            </w:r>
          </w:p>
          <w:p>
            <w:pPr>
              <w:pStyle w:val="Table"/>
              <w:rPr>
                <w:sz w:val="21"/>
              </w:rPr>
            </w:pPr>
            <w:r>
              <w:rPr>
                <w:sz w:val="21"/>
              </w:rPr>
            </w:r>
          </w:p>
          <w:p>
            <w:pPr>
              <w:pStyle w:val="Table"/>
              <w:rPr>
                <w:sz w:val="21"/>
              </w:rPr>
            </w:pPr>
            <w:r>
              <w:rPr>
                <w:sz w:val="21"/>
              </w:rPr>
              <w:t>E-20, E-25, RTP</w:t>
            </w:r>
          </w:p>
        </w:tc>
      </w:tr>
      <w:tr>
        <w:trPr/>
        <w:tc>
          <w:tcPr>
            <w:tcW w:w="2433" w:type="dxa"/>
            <w:tcBorders>
              <w:top w:val="single" w:sz="6" w:space="0" w:color="000000"/>
              <w:start w:val="single" w:sz="12" w:space="0" w:color="000000"/>
              <w:end w:val="single" w:sz="6" w:space="0" w:color="000000"/>
            </w:tcBorders>
          </w:tcPr>
          <w:p>
            <w:pPr>
              <w:pStyle w:val="Table"/>
              <w:rPr>
                <w:sz w:val="21"/>
              </w:rPr>
            </w:pPr>
            <w:r>
              <w:rPr>
                <w:sz w:val="21"/>
              </w:rPr>
              <w:t>Standby</w:t>
            </w:r>
          </w:p>
        </w:tc>
        <w:tc>
          <w:tcPr>
            <w:tcW w:w="3240" w:type="dxa"/>
            <w:tcBorders>
              <w:top w:val="single" w:sz="6" w:space="0" w:color="000000"/>
              <w:start w:val="single" w:sz="6" w:space="0" w:color="000000"/>
              <w:end w:val="single" w:sz="6" w:space="0" w:color="000000"/>
            </w:tcBorders>
          </w:tcPr>
          <w:p>
            <w:pPr>
              <w:pStyle w:val="Table"/>
              <w:rPr>
                <w:sz w:val="21"/>
              </w:rPr>
            </w:pPr>
            <w:r>
              <w:rPr>
                <w:sz w:val="21"/>
              </w:rPr>
              <w:t>S</w:t>
            </w:r>
          </w:p>
        </w:tc>
        <w:tc>
          <w:tcPr>
            <w:tcW w:w="2436" w:type="dxa"/>
            <w:tcBorders>
              <w:top w:val="single" w:sz="6" w:space="0" w:color="000000"/>
              <w:start w:val="single" w:sz="6" w:space="0" w:color="000000"/>
              <w:end w:val="single" w:sz="6" w:space="0" w:color="000000"/>
            </w:tcBorders>
          </w:tcPr>
          <w:p>
            <w:pPr>
              <w:pStyle w:val="Table"/>
              <w:rPr>
                <w:sz w:val="21"/>
              </w:rPr>
            </w:pPr>
            <w:r>
              <w:rPr>
                <w:sz w:val="21"/>
              </w:rPr>
              <w:t>S</w:t>
            </w:r>
          </w:p>
        </w:tc>
        <w:tc>
          <w:tcPr>
            <w:tcW w:w="2294" w:type="dxa"/>
            <w:tcBorders>
              <w:top w:val="single" w:sz="6" w:space="0" w:color="000000"/>
              <w:start w:val="single" w:sz="6" w:space="0" w:color="000000"/>
              <w:end w:val="single" w:sz="12" w:space="0" w:color="000000"/>
            </w:tcBorders>
          </w:tcPr>
          <w:p>
            <w:pPr>
              <w:pStyle w:val="Table"/>
              <w:rPr>
                <w:sz w:val="21"/>
              </w:rPr>
            </w:pPr>
            <w:r>
              <w:rPr>
                <w:sz w:val="21"/>
              </w:rPr>
              <w:t>S</w:t>
            </w:r>
          </w:p>
        </w:tc>
      </w:tr>
      <w:tr>
        <w:trPr/>
        <w:tc>
          <w:tcPr>
            <w:tcW w:w="2433" w:type="dxa"/>
            <w:tcBorders>
              <w:top w:val="single" w:sz="6" w:space="0" w:color="000000"/>
              <w:start w:val="single" w:sz="12" w:space="0" w:color="000000"/>
              <w:bottom w:val="single" w:sz="12" w:space="0" w:color="000000"/>
              <w:end w:val="single" w:sz="6" w:space="0" w:color="000000"/>
            </w:tcBorders>
          </w:tcPr>
          <w:p>
            <w:pPr>
              <w:pStyle w:val="Table"/>
              <w:rPr>
                <w:sz w:val="21"/>
              </w:rPr>
            </w:pPr>
            <w:r>
              <w:rPr>
                <w:sz w:val="21"/>
              </w:rPr>
              <w:t>Streetlights</w:t>
            </w:r>
          </w:p>
        </w:tc>
        <w:tc>
          <w:tcPr>
            <w:tcW w:w="3240" w:type="dxa"/>
            <w:tcBorders>
              <w:top w:val="single" w:sz="6" w:space="0" w:color="000000"/>
              <w:start w:val="single" w:sz="6" w:space="0" w:color="000000"/>
              <w:bottom w:val="single" w:sz="12" w:space="0" w:color="000000"/>
              <w:end w:val="single" w:sz="6" w:space="0" w:color="000000"/>
            </w:tcBorders>
          </w:tcPr>
          <w:p>
            <w:pPr>
              <w:pStyle w:val="Table"/>
              <w:rPr>
                <w:sz w:val="21"/>
              </w:rPr>
            </w:pPr>
            <w:r>
              <w:rPr>
                <w:sz w:val="21"/>
              </w:rPr>
              <w:t>LS-1, LS-2, LS-3, OL-1</w:t>
            </w:r>
          </w:p>
        </w:tc>
        <w:tc>
          <w:tcPr>
            <w:tcW w:w="2436" w:type="dxa"/>
            <w:tcBorders>
              <w:top w:val="single" w:sz="6" w:space="0" w:color="000000"/>
              <w:start w:val="single" w:sz="6" w:space="0" w:color="000000"/>
              <w:bottom w:val="single" w:sz="12" w:space="0" w:color="000000"/>
              <w:end w:val="single" w:sz="6" w:space="0" w:color="000000"/>
            </w:tcBorders>
          </w:tcPr>
          <w:p>
            <w:pPr>
              <w:pStyle w:val="Table"/>
              <w:rPr>
                <w:sz w:val="21"/>
              </w:rPr>
            </w:pPr>
            <w:r>
              <w:rPr>
                <w:sz w:val="21"/>
              </w:rPr>
              <w:t>LS-1, LS-2, LS-3, OL-1</w:t>
            </w:r>
          </w:p>
        </w:tc>
        <w:tc>
          <w:tcPr>
            <w:tcW w:w="2294" w:type="dxa"/>
            <w:tcBorders>
              <w:top w:val="single" w:sz="6" w:space="0" w:color="000000"/>
              <w:start w:val="single" w:sz="6" w:space="0" w:color="000000"/>
              <w:bottom w:val="single" w:sz="12" w:space="0" w:color="000000"/>
              <w:end w:val="single" w:sz="12" w:space="0" w:color="000000"/>
            </w:tcBorders>
          </w:tcPr>
          <w:p>
            <w:pPr>
              <w:pStyle w:val="Table"/>
              <w:rPr>
                <w:sz w:val="21"/>
              </w:rPr>
            </w:pPr>
            <w:r>
              <w:rPr>
                <w:sz w:val="21"/>
              </w:rPr>
              <w:t>LS-1, LS-2, LS-3, OL-1</w:t>
            </w:r>
          </w:p>
        </w:tc>
      </w:tr>
    </w:tbl>
    <w:p>
      <w:pPr>
        <w:pStyle w:val="Table"/>
        <w:rPr/>
      </w:pPr>
      <w:r>
        <w:rPr/>
      </w:r>
      <w:r>
        <w:br w:type="page"/>
      </w:r>
    </w:p>
    <w:p>
      <w:pPr>
        <w:pStyle w:val="Table"/>
        <w:jc w:val="center"/>
        <w:rPr>
          <w:b/>
          <w:sz w:val="28"/>
        </w:rPr>
      </w:pPr>
      <w:r>
        <w:rPr>
          <w:b/>
          <w:sz w:val="28"/>
        </w:rPr>
        <w:t>TABLE 4-2</w:t>
      </w:r>
    </w:p>
    <w:p>
      <w:pPr>
        <w:pStyle w:val="Table"/>
        <w:jc w:val="center"/>
        <w:rPr>
          <w:b/>
          <w:sz w:val="28"/>
        </w:rPr>
      </w:pPr>
      <w:r>
        <w:rPr>
          <w:b/>
          <w:sz w:val="28"/>
        </w:rPr>
      </w:r>
    </w:p>
    <w:p>
      <w:pPr>
        <w:pStyle w:val="Table"/>
        <w:jc w:val="center"/>
        <w:rPr>
          <w:b/>
          <w:sz w:val="28"/>
          <w:u w:val="single"/>
        </w:rPr>
      </w:pPr>
      <w:r>
        <w:rPr>
          <w:b/>
          <w:sz w:val="28"/>
          <w:u w:val="single"/>
        </w:rPr>
        <w:t>ALLOCATION METHODOLOGY</w:t>
      </w:r>
    </w:p>
    <w:p>
      <w:pPr>
        <w:pStyle w:val="Table"/>
        <w:jc w:val="center"/>
        <w:rPr>
          <w:b/>
          <w:sz w:val="28"/>
          <w:u w:val="single"/>
        </w:rPr>
      </w:pPr>
      <w:r>
        <w:rPr>
          <w:b/>
          <w:sz w:val="28"/>
          <w:u w:val="single"/>
        </w:rPr>
      </w:r>
    </w:p>
    <w:tbl>
      <w:tblPr>
        <w:tblW w:w="9828" w:type="dxa"/>
        <w:jc w:val="start"/>
        <w:tblInd w:w="0" w:type="dxa"/>
        <w:tblLayout w:type="fixed"/>
        <w:tblCellMar>
          <w:top w:w="0" w:type="dxa"/>
          <w:start w:w="108" w:type="dxa"/>
          <w:bottom w:w="0" w:type="dxa"/>
          <w:end w:w="108" w:type="dxa"/>
        </w:tblCellMar>
      </w:tblPr>
      <w:tblGrid>
        <w:gridCol w:w="1728"/>
        <w:gridCol w:w="1980"/>
        <w:gridCol w:w="2970"/>
        <w:gridCol w:w="3150"/>
      </w:tblGrid>
      <w:tr>
        <w:trPr/>
        <w:tc>
          <w:tcPr>
            <w:tcW w:w="1728" w:type="dxa"/>
            <w:tcBorders>
              <w:top w:val="single" w:sz="4" w:space="0" w:color="000000"/>
              <w:start w:val="single" w:sz="4" w:space="0" w:color="000000"/>
              <w:bottom w:val="single" w:sz="4" w:space="0" w:color="000000"/>
              <w:end w:val="single" w:sz="4" w:space="0" w:color="000000"/>
            </w:tcBorders>
            <w:shd w:fill="D8D8D8" w:val="clear"/>
          </w:tcPr>
          <w:p>
            <w:pPr>
              <w:pStyle w:val="Table"/>
              <w:snapToGrid w:val="false"/>
              <w:jc w:val="center"/>
              <w:rPr>
                <w:b/>
              </w:rPr>
            </w:pPr>
            <w:r>
              <w:rPr>
                <w:b/>
              </w:rPr>
            </w:r>
          </w:p>
          <w:p>
            <w:pPr>
              <w:pStyle w:val="Table"/>
              <w:jc w:val="center"/>
              <w:rPr>
                <w:b/>
              </w:rPr>
            </w:pPr>
            <w:r>
              <w:rPr>
                <w:b/>
              </w:rPr>
              <w:t>Function</w:t>
            </w:r>
          </w:p>
          <w:p>
            <w:pPr>
              <w:pStyle w:val="Table"/>
              <w:jc w:val="center"/>
              <w:rPr>
                <w:b/>
              </w:rPr>
            </w:pPr>
            <w:r>
              <w:rPr>
                <w:b/>
              </w:rPr>
            </w:r>
          </w:p>
        </w:tc>
        <w:tc>
          <w:tcPr>
            <w:tcW w:w="1980" w:type="dxa"/>
            <w:tcBorders>
              <w:top w:val="single" w:sz="4" w:space="0" w:color="000000"/>
              <w:start w:val="single" w:sz="4" w:space="0" w:color="000000"/>
              <w:bottom w:val="single" w:sz="4" w:space="0" w:color="000000"/>
              <w:end w:val="single" w:sz="4" w:space="0" w:color="000000"/>
            </w:tcBorders>
            <w:shd w:fill="D8D8D8" w:val="clear"/>
          </w:tcPr>
          <w:p>
            <w:pPr>
              <w:pStyle w:val="Table"/>
              <w:snapToGrid w:val="false"/>
              <w:jc w:val="center"/>
              <w:rPr>
                <w:b/>
              </w:rPr>
            </w:pPr>
            <w:r>
              <w:rPr>
                <w:b/>
              </w:rPr>
            </w:r>
          </w:p>
          <w:p>
            <w:pPr>
              <w:pStyle w:val="Table"/>
              <w:jc w:val="center"/>
              <w:rPr>
                <w:b/>
              </w:rPr>
            </w:pPr>
            <w:r>
              <w:rPr>
                <w:b/>
              </w:rPr>
              <w:t>Proceeding</w:t>
            </w:r>
          </w:p>
          <w:p>
            <w:pPr>
              <w:pStyle w:val="Table"/>
              <w:jc w:val="center"/>
              <w:rPr>
                <w:b/>
              </w:rPr>
            </w:pPr>
            <w:r>
              <w:rPr>
                <w:b/>
              </w:rPr>
            </w:r>
          </w:p>
        </w:tc>
        <w:tc>
          <w:tcPr>
            <w:tcW w:w="2970" w:type="dxa"/>
            <w:tcBorders>
              <w:top w:val="single" w:sz="4" w:space="0" w:color="000000"/>
              <w:start w:val="single" w:sz="4" w:space="0" w:color="000000"/>
              <w:bottom w:val="single" w:sz="4" w:space="0" w:color="000000"/>
              <w:end w:val="single" w:sz="4" w:space="0" w:color="000000"/>
            </w:tcBorders>
            <w:shd w:fill="D8D8D8" w:val="clear"/>
          </w:tcPr>
          <w:p>
            <w:pPr>
              <w:pStyle w:val="Table"/>
              <w:snapToGrid w:val="false"/>
              <w:jc w:val="center"/>
              <w:rPr>
                <w:b/>
              </w:rPr>
            </w:pPr>
            <w:r>
              <w:rPr>
                <w:b/>
              </w:rPr>
            </w:r>
          </w:p>
          <w:p>
            <w:pPr>
              <w:pStyle w:val="Table"/>
              <w:jc w:val="center"/>
              <w:rPr>
                <w:b/>
              </w:rPr>
            </w:pPr>
            <w:r>
              <w:rPr>
                <w:b/>
              </w:rPr>
              <w:t>PG&amp;E</w:t>
            </w:r>
          </w:p>
        </w:tc>
        <w:tc>
          <w:tcPr>
            <w:tcW w:w="3150" w:type="dxa"/>
            <w:tcBorders>
              <w:top w:val="single" w:sz="4" w:space="0" w:color="000000"/>
              <w:start w:val="single" w:sz="4" w:space="0" w:color="000000"/>
              <w:bottom w:val="single" w:sz="4" w:space="0" w:color="000000"/>
              <w:end w:val="single" w:sz="4" w:space="0" w:color="000000"/>
            </w:tcBorders>
            <w:shd w:fill="D8D8D8" w:val="clear"/>
          </w:tcPr>
          <w:p>
            <w:pPr>
              <w:pStyle w:val="Table"/>
              <w:snapToGrid w:val="false"/>
              <w:jc w:val="center"/>
              <w:rPr>
                <w:b/>
              </w:rPr>
            </w:pPr>
            <w:r>
              <w:rPr>
                <w:b/>
              </w:rPr>
            </w:r>
          </w:p>
          <w:p>
            <w:pPr>
              <w:pStyle w:val="Table"/>
              <w:jc w:val="center"/>
              <w:rPr>
                <w:b/>
              </w:rPr>
            </w:pPr>
            <w:r>
              <w:rPr>
                <w:b/>
              </w:rPr>
              <w:t>ORA</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Distribution</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1999 GRC, Phase II</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Full Equal Percent of Marginal Costs (EPMC)</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15 percent inter- and intra class capped-EPMC, no floors.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PPP (non-CARE)</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PTR, Phase II (D.00-06-034)</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 xml:space="preserve">System Average Percent (SAP) Change </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SAP</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PPP (CARE)</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PTR, Phase II (D.00-06-034)</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Equal cents per kWh ($/kWh)</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$/kWh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CTC</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PTR, Phase II (D.00-06-034)</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Top 100 hour</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Top 100 hour</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Nuclear Decomm.</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PTR, Phase II (D.00-06-034)</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 xml:space="preserve">$/kWh </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 xml:space="preserve">$/kWh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Transmission</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FERC Docket (ER 99-4323-000)</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 xml:space="preserve">12 CP </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12 CP</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RMR</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 xml:space="preserve">FERC </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 xml:space="preserve">12 CP </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12 CP</w:t>
            </w:r>
          </w:p>
        </w:tc>
      </w:tr>
      <w:tr>
        <w:trPr/>
        <w:tc>
          <w:tcPr>
            <w:tcW w:w="1728" w:type="dxa"/>
            <w:tcBorders>
              <w:top w:val="single" w:sz="4" w:space="0" w:color="000000"/>
              <w:start w:val="single" w:sz="4" w:space="0" w:color="000000"/>
              <w:bottom w:val="single" w:sz="4" w:space="0" w:color="000000"/>
              <w:end w:val="single" w:sz="4" w:space="0" w:color="000000"/>
            </w:tcBorders>
          </w:tcPr>
          <w:p>
            <w:pPr>
              <w:pStyle w:val="Table"/>
              <w:rPr/>
            </w:pPr>
            <w:r>
              <w:rPr/>
              <w:t xml:space="preserve">Generation </w:t>
            </w:r>
          </w:p>
        </w:tc>
        <w:tc>
          <w:tcPr>
            <w:tcW w:w="1980" w:type="dxa"/>
            <w:tcBorders>
              <w:top w:val="single" w:sz="4" w:space="0" w:color="000000"/>
              <w:start w:val="single" w:sz="4" w:space="0" w:color="000000"/>
              <w:bottom w:val="single" w:sz="4" w:space="0" w:color="000000"/>
              <w:end w:val="single" w:sz="4" w:space="0" w:color="000000"/>
            </w:tcBorders>
          </w:tcPr>
          <w:p>
            <w:pPr>
              <w:pStyle w:val="Table"/>
              <w:rPr/>
            </w:pPr>
            <w:r>
              <w:rPr/>
              <w:t xml:space="preserve">PX </w:t>
            </w:r>
          </w:p>
        </w:tc>
        <w:tc>
          <w:tcPr>
            <w:tcW w:w="2970" w:type="dxa"/>
            <w:tcBorders>
              <w:top w:val="single" w:sz="4" w:space="0" w:color="000000"/>
              <w:start w:val="single" w:sz="4" w:space="0" w:color="000000"/>
              <w:bottom w:val="single" w:sz="4" w:space="0" w:color="000000"/>
              <w:end w:val="single" w:sz="4" w:space="0" w:color="000000"/>
            </w:tcBorders>
          </w:tcPr>
          <w:p>
            <w:pPr>
              <w:pStyle w:val="Table"/>
              <w:rPr/>
            </w:pPr>
            <w:r>
              <w:rPr/>
              <w:t>PX proxy times sales</w:t>
            </w:r>
          </w:p>
        </w:tc>
        <w:tc>
          <w:tcPr>
            <w:tcW w:w="3150" w:type="dxa"/>
            <w:tcBorders>
              <w:top w:val="single" w:sz="4" w:space="0" w:color="000000"/>
              <w:start w:val="single" w:sz="4" w:space="0" w:color="000000"/>
              <w:bottom w:val="single" w:sz="4" w:space="0" w:color="000000"/>
              <w:end w:val="single" w:sz="4" w:space="0" w:color="000000"/>
            </w:tcBorders>
          </w:tcPr>
          <w:p>
            <w:pPr>
              <w:pStyle w:val="Table"/>
              <w:rPr/>
            </w:pPr>
            <w:r>
              <w:rPr/>
              <w:t>PX proxy times sales</w:t>
            </w:r>
          </w:p>
        </w:tc>
      </w:tr>
    </w:tbl>
    <w:p>
      <w:pPr>
        <w:sectPr>
          <w:footerReference w:type="default" r:id="rId10"/>
          <w:footerReference w:type="first" r:id="rId11"/>
          <w:footnotePr>
            <w:numFmt w:val="decimal"/>
          </w:footnotePr>
          <w:type w:val="nextPage"/>
          <w:pgSz w:w="12240" w:h="15840"/>
          <w:pgMar w:left="1800" w:right="1728" w:gutter="0" w:header="0" w:top="1152" w:footer="720" w:bottom="1296"/>
          <w:lnNumType w:countBy="1" w:restart="newPage" w:distance="283"/>
          <w:pgNumType w:start="1" w:fmt="decimal"/>
          <w:formProt w:val="false"/>
          <w:textDirection w:val="lrTb"/>
          <w:docGrid w:type="default" w:linePitch="360" w:charSpace="0"/>
        </w:sectPr>
      </w:pPr>
    </w:p>
    <w:p>
      <w:pPr>
        <w:pStyle w:val="Normal"/>
        <w:spacing w:lineRule="auto" w:line="360"/>
        <w:jc w:val="center"/>
        <w:rPr/>
      </w:pPr>
      <w:r>
        <w:rPr>
          <w:b/>
          <w:caps/>
          <w:sz w:val="28"/>
        </w:rPr>
        <w:t>Chapter</w:t>
      </w:r>
      <w:r>
        <w:rPr>
          <w:b/>
          <w:sz w:val="28"/>
        </w:rPr>
        <w:t xml:space="preserve"> 5</w:t>
      </w:r>
    </w:p>
    <w:p>
      <w:pPr>
        <w:pStyle w:val="Heading4"/>
        <w:widowControl/>
        <w:ind w:hanging="0" w:start="0"/>
        <w:rPr>
          <w:u w:val="single"/>
        </w:rPr>
      </w:pPr>
      <w:r>
        <w:rPr>
          <w:u w:val="single"/>
        </w:rPr>
        <w:t>RESIDENTIAL RATE DESIGN</w:t>
      </w:r>
    </w:p>
    <w:p>
      <w:pPr>
        <w:pStyle w:val="Normal"/>
        <w:spacing w:lineRule="auto" w:line="360"/>
        <w:jc w:val="center"/>
        <w:rPr>
          <w:b/>
          <w:u w:val="single"/>
        </w:rPr>
      </w:pPr>
      <w:r>
        <w:rPr>
          <w:b/>
          <w:u w:val="single"/>
        </w:rPr>
      </w:r>
    </w:p>
    <w:p>
      <w:pPr>
        <w:pStyle w:val="Normal"/>
        <w:spacing w:lineRule="auto" w:line="360"/>
        <w:jc w:val="center"/>
        <w:rPr>
          <w:b/>
        </w:rPr>
      </w:pPr>
      <w:r>
        <w:rPr>
          <w:b/>
        </w:rPr>
        <w:t>Witnesses: Troid O. Edwards and Donald R. Smith</w:t>
      </w:r>
      <w:r>
        <w:rPr>
          <w:rStyle w:val="FootnoteCharacters"/>
          <w:rStyle w:val="FootnoteReference"/>
          <w:b/>
        </w:rPr>
        <w:footnoteReference w:id="30"/>
      </w:r>
    </w:p>
    <w:p>
      <w:pPr>
        <w:pStyle w:val="Normal"/>
        <w:rPr>
          <w:b/>
        </w:rPr>
      </w:pPr>
      <w:r>
        <w:rPr>
          <w:b/>
        </w:rPr>
      </w:r>
    </w:p>
    <w:p>
      <w:pPr>
        <w:pStyle w:val="Normal"/>
        <w:widowControl w:val="false"/>
        <w:numPr>
          <w:ilvl w:val="1"/>
          <w:numId w:val="22"/>
        </w:numPr>
        <w:spacing w:lineRule="auto" w:line="360"/>
        <w:rPr>
          <w:b/>
          <w:u w:val="single"/>
        </w:rPr>
      </w:pPr>
      <w:r>
        <w:rPr>
          <w:b/>
          <w:u w:val="single"/>
        </w:rPr>
        <w:t xml:space="preserve">Introduction and Overview </w:t>
      </w:r>
    </w:p>
    <w:p>
      <w:pPr>
        <w:pStyle w:val="BodyTextIndent"/>
        <w:spacing w:before="0" w:after="0"/>
        <w:rPr/>
      </w:pPr>
      <w:r>
        <w:rPr/>
        <w:t xml:space="preserve">This chapter presents ORA’s recommendations for the residential class rate structure.  ORA would like to acknowledge PG&amp;E’s effort to simplify its residential rate structure for the post transition competitive era.  The proposed schedule E-1 attempts to give residential customers a clear price signal while retaining most of rate options currently available to customers.  </w:t>
      </w:r>
    </w:p>
    <w:p>
      <w:pPr>
        <w:pStyle w:val="BodyTextIndent"/>
        <w:spacing w:before="0" w:after="0"/>
        <w:rPr/>
      </w:pPr>
      <w:r>
        <w:rPr/>
        <w:t xml:space="preserve">A few issues are of particular concern.  PG&amp;E has proposed a $5 basic charge in lieu of the current $5 minimum bill charge.  The company also proposes that the simple tier differential methodology be maintained for calculating the differential between tier 1 and tier 2 energy rates.  The Commission should carefully examine this proposal and its subsequent impact on residential customers </w:t>
      </w:r>
    </w:p>
    <w:p>
      <w:pPr>
        <w:pStyle w:val="Heading1"/>
        <w:tabs>
          <w:tab w:val="left" w:pos="720" w:leader="none"/>
        </w:tabs>
        <w:ind w:hanging="720" w:end="0"/>
        <w:jc w:val="start"/>
        <w:rPr/>
      </w:pPr>
      <w:r>
        <w:rPr>
          <w:b w:val="false"/>
        </w:rPr>
        <w:t>5.1.1</w:t>
        <w:tab/>
      </w:r>
      <w:r>
        <w:rPr>
          <w:b w:val="false"/>
          <w:u w:val="single"/>
        </w:rPr>
        <w:t>Schedule E-1 Rate Design and Rate Consolidation</w:t>
      </w:r>
    </w:p>
    <w:p>
      <w:pPr>
        <w:pStyle w:val="Normal"/>
        <w:spacing w:lineRule="auto" w:line="360"/>
        <w:ind w:firstLine="720" w:end="0"/>
        <w:rPr/>
      </w:pPr>
      <w:r>
        <w:rPr/>
        <w:t xml:space="preserve">ORA does not object to the merger of residential schedules E-1, E-7, E-A7, E-8 and their CARE counterparts into a redesigned schedule E-1 as proposed by PG&amp;E.  The proposed enhancements to schedule E-1 incorporate the main options found in E-7, E-A7, E-8 and their CARE counterparts that would have been otherwise lost due to the proposed closing of these schedules. </w:t>
      </w:r>
    </w:p>
    <w:p>
      <w:pPr>
        <w:pStyle w:val="Normal"/>
        <w:spacing w:lineRule="auto" w:line="360"/>
        <w:ind w:firstLine="720" w:end="0"/>
        <w:rPr/>
      </w:pPr>
      <w:r>
        <w:rPr/>
        <w:t xml:space="preserve">The new schedule E-1 will have a Time-Of-Use option similar to schedules E-7 and E-A7.  The proposed TOU option will be called E-7.  It appears that the company chose this name to lesson customer confusion.  But, by designating E-1’s TOU as option E-7, PG&amp;E may cause customers to confuse this option with the closed schedule.  It may be better to choose a new name for this option that could not be confused with a prior schedule.  If, however, the designation “E-7” is retained, then PG&amp;E should be required to send out a bill insert notifying customer of the change and the differences between the old E-7 and the proposed E-7 option.  </w:t>
      </w:r>
    </w:p>
    <w:p>
      <w:pPr>
        <w:pStyle w:val="Normal"/>
        <w:spacing w:lineRule="auto" w:line="360"/>
        <w:ind w:firstLine="720" w:end="0"/>
        <w:rPr/>
      </w:pPr>
      <w:r>
        <w:rPr/>
        <w:t>PG&amp;E may also want to consider adding an alternate time-of-use TOU option to schedule E-1 designed around a different peaking period to reflect the fact that coastal and inland customers peak at different times.  This is covered in greater detail in Section 5-2 below on TOU rate design.  The proposed E-1 is seasonally differentiated, thus incorporating the seasonal aspects of schedule E-8.  PG&amp;E has correctly acknowledged the necessity to increase the accuracy of price signals received by the residential class.  By making their default residential schedule seasonal, PG&amp;E has taken a step in the right direction.  A seasonally differentiated schedule E-1 will send a clearer distribution price signal, allowing residential customers to appreciate the differences in distribution prices from winter to summer periods.  Something about mixing this with the distribution price signal.</w:t>
      </w:r>
    </w:p>
    <w:p>
      <w:pPr>
        <w:pStyle w:val="Normal"/>
        <w:spacing w:lineRule="auto" w:line="360"/>
        <w:rPr>
          <w:b/>
        </w:rPr>
      </w:pPr>
      <w:r>
        <w:rPr>
          <w:b/>
        </w:rPr>
        <w:t>5.2</w:t>
        <w:tab/>
      </w:r>
      <w:r>
        <w:rPr>
          <w:b/>
          <w:u w:val="single"/>
        </w:rPr>
        <w:t>Time-Of-Use Rate Design</w:t>
      </w:r>
    </w:p>
    <w:p>
      <w:pPr>
        <w:pStyle w:val="Normal"/>
        <w:spacing w:lineRule="auto" w:line="360"/>
        <w:ind w:firstLine="720" w:end="0"/>
        <w:rPr/>
      </w:pPr>
      <w:r>
        <w:rPr/>
        <w:t>As previously stated, ORA does not object to the consolidation of schedules E-7, E-A7 and their CARE counterparts into the proposed schedule E-1, with a few minor considerations.  ORA proposes that existing E-7 and E-A7 customers have the opportunity to maintain their current peak period if desired.  All new residential customers in coastal distribution planning areas opting to take TOU service must use a noon to 6 PM or a 2 PM to 8 PM peak period. Inland customers also should be given a 2 PM to 6 PM peak period option.  These distinctions should be made based on distribution planning areas to more closely match their actual usage patterns.</w:t>
      </w:r>
    </w:p>
    <w:p>
      <w:pPr>
        <w:pStyle w:val="Normal"/>
        <w:spacing w:lineRule="auto" w:line="360"/>
        <w:ind w:firstLine="720" w:end="0"/>
        <w:rPr>
          <w:b/>
          <w:i/>
          <w:i/>
        </w:rPr>
      </w:pPr>
      <w:r>
        <w:rPr/>
        <w:t>ORA believes that a 2 PM to 6 PM peak would more accurately depict certain customers’ actually peaking period.  A peak period based on the system peak would aid all customers in making appropriate usage choices, thus reducing the strain on the system.</w:t>
      </w:r>
    </w:p>
    <w:p>
      <w:pPr>
        <w:pStyle w:val="Normal"/>
        <w:spacing w:lineRule="auto" w:line="360"/>
        <w:rPr>
          <w:b/>
        </w:rPr>
      </w:pPr>
      <w:r>
        <w:rPr>
          <w:b/>
        </w:rPr>
        <w:t>5.3</w:t>
        <w:tab/>
      </w:r>
      <w:r>
        <w:rPr>
          <w:b/>
          <w:u w:val="single"/>
        </w:rPr>
        <w:t>Seasonal Rate Design</w:t>
      </w:r>
    </w:p>
    <w:p>
      <w:pPr>
        <w:pStyle w:val="Normal"/>
        <w:spacing w:lineRule="auto" w:line="360"/>
        <w:ind w:firstLine="720" w:end="0"/>
        <w:rPr/>
      </w:pPr>
      <w:r>
        <w:rPr/>
        <w:t>As previously stated, ORA does not object to the proposed consolidation of schedule E-8 and its CARE counterpart into the proposed schedule E-1.  ORA believes that it is appropriate for all residential customers to be serviced on a seasonal schedule.</w:t>
      </w:r>
    </w:p>
    <w:p>
      <w:pPr>
        <w:pStyle w:val="Normal"/>
        <w:spacing w:lineRule="auto" w:line="360"/>
        <w:ind w:firstLine="720" w:end="0"/>
        <w:rPr/>
      </w:pPr>
      <w:r>
        <w:rPr/>
      </w:r>
    </w:p>
    <w:p>
      <w:pPr>
        <w:pStyle w:val="Normal"/>
        <w:spacing w:lineRule="auto" w:line="360"/>
        <w:rPr>
          <w:b/>
        </w:rPr>
      </w:pPr>
      <w:r>
        <w:rPr>
          <w:b/>
        </w:rPr>
        <w:t>5.4</w:t>
        <w:tab/>
      </w:r>
      <w:r>
        <w:rPr>
          <w:b/>
          <w:u w:val="single"/>
        </w:rPr>
        <w:t>Low Emission Vehicle Rate Design</w:t>
      </w:r>
    </w:p>
    <w:p>
      <w:pPr>
        <w:pStyle w:val="Normal"/>
        <w:spacing w:lineRule="auto" w:line="360"/>
        <w:ind w:firstLine="720" w:end="0"/>
        <w:rPr/>
      </w:pPr>
      <w:r>
        <w:rPr/>
        <w:t>ORA does not object to the proposed changes to schedule E-9. PG&amp;E’s modifications are in compliance with Commission Decision 95-11-035 to make E-9 revenue neutral with other residential schedules.</w:t>
      </w:r>
    </w:p>
    <w:p>
      <w:pPr>
        <w:pStyle w:val="Normal"/>
        <w:spacing w:lineRule="auto" w:line="360"/>
        <w:ind w:firstLine="720" w:end="0"/>
        <w:rPr/>
      </w:pPr>
      <w:r>
        <w:rPr/>
        <w:t>PG&amp;E also proposed to remove options C and D from schedule E-9.  ORA does not object to the deletion of either of these two options. No customers will be effected by the elimination of either of these options.</w:t>
      </w:r>
    </w:p>
    <w:p>
      <w:pPr>
        <w:pStyle w:val="Normal"/>
        <w:spacing w:lineRule="auto" w:line="360"/>
        <w:jc w:val="both"/>
        <w:rPr/>
      </w:pPr>
      <w:r>
        <w:rPr>
          <w:b/>
        </w:rPr>
        <w:t>5.5</w:t>
        <w:tab/>
      </w:r>
      <w:r>
        <w:rPr>
          <w:b/>
          <w:u w:val="single"/>
        </w:rPr>
        <w:t>General Comments on “Basic Charges” and Tier Rates</w:t>
      </w:r>
      <w:r>
        <w:rPr>
          <w:b/>
        </w:rPr>
        <w:t xml:space="preserve"> </w:t>
      </w:r>
    </w:p>
    <w:p>
      <w:pPr>
        <w:pStyle w:val="Normal"/>
        <w:spacing w:lineRule="auto" w:line="360"/>
        <w:ind w:firstLine="720" w:end="0"/>
        <w:rPr/>
      </w:pPr>
      <w:r>
        <w:rPr/>
        <w:t xml:space="preserve">The bill impacts on different customers of instituting a basic charge, and of changing tier rate differentials, is dependent upon how much electricity they use.  Figure 1 shows the distribution of PG&amp;E residential customer electricity use.  As shown, the largest group of customers (the “mode”) is in the 250 to 333 kWh/month category, with a “tail” extending to the right of a few customers that use very large amounts of energy.  The “median” customer, with half the customers using more kWh/month, and half using less, uses 395 kWh/month.  The high usage customers make the arithmetic average or mean residential energy use 561 kWh per month.  These statistical concepts are important, because one often wished to check how some pricing options affect the “typical” residential customer.  </w:t>
      </w:r>
    </w:p>
    <w:p>
      <w:pPr>
        <w:pStyle w:val="Normal"/>
        <w:spacing w:lineRule="auto" w:line="360"/>
        <w:ind w:firstLine="720" w:end="0"/>
        <w:rPr/>
      </w:pPr>
      <w:r>
        <w:rPr/>
        <w:t xml:space="preserve">The largest group of customers (the “mode”) is in the 250 to 333 kWh/month category, with a “tail” extending to the right of a few customers that use very large amounts of energy.  The “median” customer, with half the customers using more kWh/month, and half using less, uses 395 kWh/month.  The high usage customers make the arithmetic average or mean residential energy use 561 kWh per month.  These statistical concepts are important, because one often wished to check how some pricing options affect the “typical” residential customer.  </w:t>
      </w:r>
    </w:p>
    <w:p>
      <w:pPr>
        <w:pStyle w:val="Normal"/>
        <w:spacing w:lineRule="auto" w:line="360"/>
        <w:ind w:firstLine="720" w:end="0"/>
        <w:rPr/>
      </w:pPr>
      <w:r>
        <w:rPr/>
        <w:object w:dxaOrig="8961" w:dyaOrig="9984">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0pt;margin-top:0pt;width:467.05pt;height:503.05pt;mso-wrap-distance-left:9.05pt;mso-wrap-distance-right:9.05pt;mso-position-horizontal-relative:text;mso-position-vertical-relative:text" filled="f" o:ole="">
            <v:imagedata r:id="rId13" o:title=""/>
            <w10:wrap type="topAndBottom"/>
          </v:shape>
          <o:OLEObject Type="Embed" ProgID="Excel.Sheet.12" ShapeID="ole_rId12" DrawAspect="Content" ObjectID="_894422354" r:id="rId12"/>
        </w:object>
      </w:r>
    </w:p>
    <w:p>
      <w:pPr>
        <w:pStyle w:val="Normal"/>
        <w:spacing w:lineRule="auto" w:line="360"/>
        <w:rPr>
          <w:b/>
        </w:rPr>
      </w:pPr>
      <w:r>
        <w:rPr>
          <w:b/>
          <w:u w:val="single"/>
        </w:rPr>
        <w:t>Figure 1.  Residential Customer kWh Use Distribution</w:t>
      </w:r>
    </w:p>
    <w:p>
      <w:pPr>
        <w:pStyle w:val="Normal"/>
        <w:spacing w:lineRule="auto" w:line="360"/>
        <w:ind w:firstLine="720" w:end="0"/>
        <w:rPr/>
      </w:pPr>
      <w:r>
        <w:rPr/>
        <w:t xml:space="preserve">The largest group of customers (the “mode”) is in the 250 to 333 kWh/month category, with a “tail” extending to the right of a few customers that use very large amounts of energy.  The “median” customer, with half the customers using more kWh/month, and half using less, uses 395 kWh/month.  The high usage customers make the arithmetic average or mean residential energy use 561 kWh per month.  These statistical concepts are important, because one often wished to check how some pricing options affect the “typical” residential customer.  </w:t>
      </w:r>
    </w:p>
    <w:p>
      <w:pPr>
        <w:pStyle w:val="BodyTextIndent"/>
        <w:spacing w:before="0" w:after="0"/>
        <w:ind w:hanging="0" w:end="0"/>
        <w:rPr>
          <w:b/>
        </w:rPr>
      </w:pPr>
      <w:r>
        <w:rPr>
          <w:b/>
        </w:rPr>
        <w:t>5.7</w:t>
        <w:tab/>
      </w:r>
      <w:r>
        <w:rPr>
          <w:b/>
          <w:u w:val="single"/>
        </w:rPr>
        <w:t>General Tier Pricing</w:t>
      </w:r>
    </w:p>
    <w:p>
      <w:pPr>
        <w:pStyle w:val="BodyText"/>
        <w:spacing w:before="0" w:after="0"/>
        <w:rPr/>
      </w:pPr>
      <w:r>
        <w:rPr/>
        <w:t>Tier pricing sets a lower rate for the per kWh charge under a certain “lifeline” limit.  The limit varies according to climate zone, season, and whether or not the residence has electric heating, and has a larger limit for those which a need for electric medical equipment.  The tier is about 365 kWh/month on average.  Note that even a customer with large electric use gets the first 365 kWh/month at the lower rate.  Let us take, for illustrative purposes, an average residential electric rate of $.12/kWh.  Assume a tier ratio of 1.25 is created, and that about 61-percent of the energy is sold at the tier 1 price and 39 percent is sold at the tier 2 price.</w:t>
      </w:r>
      <w:r>
        <w:rPr>
          <w:rStyle w:val="FootnoteCharacters"/>
          <w:rStyle w:val="FootnoteReference"/>
        </w:rPr>
        <w:footnoteReference w:id="31"/>
      </w:r>
      <w:r>
        <w:rPr/>
        <w:t xml:space="preserve">  To give the same revenue, the first tier rate would need to be set at $.109/kWh, and the second tier rate at $.136/kWh.  The monthly bills, with the 1.25 tier rate differential and with no tier rate differential, would be;</w:t>
      </w:r>
    </w:p>
    <w:p>
      <w:pPr>
        <w:pStyle w:val="BodyText"/>
        <w:spacing w:before="0" w:after="0"/>
        <w:rPr>
          <w:u w:val="single"/>
        </w:rPr>
      </w:pPr>
      <w:r>
        <w:rPr>
          <w:u w:val="single"/>
        </w:rPr>
        <w:t>Usage (kWh/Month)</w:t>
        <w:tab/>
        <w:t xml:space="preserve"> Bill w/ 25% Tier</w:t>
        <w:tab/>
        <w:t>Bill w/o Tier</w:t>
        <w:tab/>
      </w:r>
    </w:p>
    <w:p>
      <w:pPr>
        <w:pStyle w:val="BodyText"/>
        <w:spacing w:before="0" w:after="0"/>
        <w:ind w:start="720" w:end="0"/>
        <w:rPr/>
      </w:pPr>
      <w:r>
        <w:rPr/>
        <w:t>365</w:t>
        <w:tab/>
        <w:tab/>
        <w:t>$39.79</w:t>
        <w:tab/>
        <w:tab/>
        <w:tab/>
        <w:t>$43.80</w:t>
        <w:tab/>
      </w:r>
    </w:p>
    <w:p>
      <w:pPr>
        <w:pStyle w:val="BodyText"/>
        <w:spacing w:before="0" w:after="0"/>
        <w:ind w:start="720" w:end="0"/>
        <w:rPr/>
      </w:pPr>
      <w:r>
        <w:rPr/>
        <w:t>395(median)</w:t>
        <w:tab/>
        <w:t>$43.86</w:t>
        <w:tab/>
        <w:tab/>
        <w:tab/>
        <w:t>$47.40</w:t>
        <w:tab/>
      </w:r>
    </w:p>
    <w:p>
      <w:pPr>
        <w:pStyle w:val="BodyText"/>
        <w:spacing w:before="0" w:after="0"/>
        <w:rPr/>
      </w:pPr>
      <w:r>
        <w:rPr/>
        <w:tab/>
        <w:t>561(avg.)</w:t>
        <w:tab/>
        <w:t>$66.45</w:t>
        <w:tab/>
        <w:tab/>
        <w:tab/>
        <w:t>$67.32</w:t>
      </w:r>
    </w:p>
    <w:p>
      <w:pPr>
        <w:pStyle w:val="BodyText"/>
        <w:spacing w:before="0" w:after="0"/>
        <w:rPr/>
      </w:pPr>
      <w:r>
        <w:rPr/>
        <w:tab/>
        <w:t>1000</w:t>
        <w:tab/>
        <w:tab/>
        <w:t>$126.45</w:t>
        <w:tab/>
        <w:tab/>
        <w:t>$120.00</w:t>
      </w:r>
    </w:p>
    <w:p>
      <w:pPr>
        <w:pStyle w:val="BodyText"/>
        <w:spacing w:before="0" w:after="0"/>
        <w:rPr/>
      </w:pPr>
      <w:r>
        <w:rPr/>
        <w:t>Customers with very low usage, all on the first tier price, would get a bill decrease of 10 percent with a 1.25 tier rate differential.  Customers with median to average usage get a small bill decrease.  Customers with usage of 1000 kWh month (26 percent of customers use this amount of electricity or more) get a bill increase of 5.4 percent.</w:t>
      </w:r>
    </w:p>
    <w:p>
      <w:pPr>
        <w:pStyle w:val="Normal"/>
        <w:spacing w:lineRule="auto" w:line="360"/>
        <w:rPr>
          <w:b/>
        </w:rPr>
      </w:pPr>
      <w:r>
        <w:rPr>
          <w:b/>
        </w:rPr>
        <w:t>5.8</w:t>
        <w:tab/>
      </w:r>
      <w:r>
        <w:rPr>
          <w:b/>
          <w:u w:val="single"/>
        </w:rPr>
        <w:t xml:space="preserve">ORA Supports an Increased Tier Differential of 25-Percent </w:t>
      </w:r>
    </w:p>
    <w:p>
      <w:pPr>
        <w:pStyle w:val="BodyTextIndent"/>
        <w:spacing w:before="0" w:after="0"/>
        <w:rPr/>
      </w:pPr>
      <w:r>
        <w:rPr/>
        <w:t>ORA supports an increase of the rate tier differential from 15 percent to 25 percent based on the total electric rate for residential customers.  This increase will give some rate relief to customers with low usage.  An increase in the tier rate differential is also appropriate in an environment where excess usage, which is most likely to occur on peak, costs a lot more than moderate usage distributed more uniformly over all time periods.  This tier differential should be based on the total electric bill, and updated annually to reflect the PX energy prices, as PG&amp;E proposes.</w:t>
      </w:r>
    </w:p>
    <w:p>
      <w:pPr>
        <w:pStyle w:val="Normal"/>
        <w:numPr>
          <w:ilvl w:val="0"/>
          <w:numId w:val="21"/>
        </w:numPr>
        <w:spacing w:lineRule="auto" w:line="360"/>
        <w:rPr>
          <w:b/>
        </w:rPr>
      </w:pPr>
      <w:r>
        <w:rPr>
          <w:b/>
        </w:rPr>
        <w:t>The fixed monthly, or Customer, or “ Basic Charge.</w:t>
      </w:r>
    </w:p>
    <w:p>
      <w:pPr>
        <w:pStyle w:val="BodyText"/>
        <w:spacing w:before="0" w:after="0"/>
        <w:rPr/>
      </w:pPr>
      <w:r>
        <w:rPr/>
        <w:t>A customer or “basic” monthly charge uses the money collected by the charge to give a lower per kWh cost for the class customers.  In its simplest form, the per kWh charge reduction could be taken equally off every kWh.  For example, a $5/month residential customer charge gives about a 1-cent/kWh reduction in the rate.  The charge will increase the monthly bills of those customers that use less electricity than average, and decrease the bills of customers that use more than average.   The customer use distribution shape shows that about two-thirds of the customer’s use less than the arithmetic average of 561 kWh/month.  Thus a customer charge results in most of the customers paying somewhat more, while a few high usage customers see a very substantial advantage from the customer charge.  With all other billing factors being the same, 65 percent of the customers see an increased bill under the $5/month customer charge</w:t>
      </w:r>
      <w:r>
        <w:rPr>
          <w:rStyle w:val="FootnoteCharacters"/>
          <w:rStyle w:val="FootnoteReference"/>
        </w:rPr>
        <w:footnoteReference w:id="32"/>
      </w:r>
      <w:r>
        <w:rPr>
          <w:rStyle w:val="FootnoteCharacters"/>
        </w:rPr>
        <w:t xml:space="preserve">, </w:t>
      </w:r>
      <w:r>
        <w:rPr/>
        <w:t xml:space="preserve">while 35 percent see a reduction.  This would be true with any customer charge, although the amount of the bill change is proportional to the amount of the customer charge.  This may explain the political unpopularity of residential customer charges. </w:t>
      </w:r>
    </w:p>
    <w:p>
      <w:pPr>
        <w:pStyle w:val="Heading1"/>
        <w:ind w:start="0" w:end="0"/>
        <w:jc w:val="start"/>
        <w:rPr/>
      </w:pPr>
      <w:r>
        <w:rPr/>
        <w:t>5.9</w:t>
        <w:tab/>
      </w:r>
      <w:r>
        <w:rPr>
          <w:u w:val="single"/>
        </w:rPr>
        <w:t>ORA Opposes PG&amp;E’s Proposed Mandatory “BASIC CHARGE”</w:t>
      </w:r>
    </w:p>
    <w:p>
      <w:pPr>
        <w:pStyle w:val="BodyText"/>
        <w:spacing w:before="0" w:after="0"/>
        <w:rPr/>
      </w:pPr>
      <w:r>
        <w:rPr/>
        <w:t>Pacific Gas and Electric is proposing to institute a $5.00 per month residential electric distribution “basic” charge in this proceeding.  This charge would increase the monthly bills of residences that use less than average amounts of electricity (561 kWh/month) to the benefit of those who use more.  Several objections can be made to the basic charge, as discussed in the following sections.</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ind w:hanging="0" w:end="0"/>
        <w:rPr>
          <w:b/>
        </w:rPr>
      </w:pPr>
      <w:r>
        <w:rPr>
          <w:b/>
        </w:rPr>
        <w:t>5.10</w:t>
        <w:tab/>
      </w:r>
      <w:r>
        <w:rPr>
          <w:b/>
          <w:u w:val="single"/>
        </w:rPr>
        <w:t>The Basic Charge Would Not be Equitable</w:t>
      </w:r>
    </w:p>
    <w:p>
      <w:pPr>
        <w:pStyle w:val="BodyText"/>
        <w:spacing w:before="0" w:after="0"/>
        <w:rPr/>
      </w:pPr>
      <w:r>
        <w:rPr/>
        <w:t>This is because low-income customers use less electricity, on average, than other customers. Their bills would increase with a basic charge.</w:t>
      </w:r>
    </w:p>
    <w:p>
      <w:pPr>
        <w:pStyle w:val="BodyText"/>
        <w:spacing w:before="0" w:after="0"/>
        <w:ind w:hanging="0" w:end="0"/>
        <w:rPr>
          <w:b/>
        </w:rPr>
      </w:pPr>
      <w:r>
        <w:rPr>
          <w:b/>
        </w:rPr>
        <w:t>5.11</w:t>
        <w:tab/>
      </w:r>
      <w:r>
        <w:rPr>
          <w:b/>
          <w:u w:val="single"/>
        </w:rPr>
        <w:t>The Basic Charge Would Discourage Energy Efficiency</w:t>
      </w:r>
    </w:p>
    <w:p>
      <w:pPr>
        <w:pStyle w:val="BodyText"/>
        <w:spacing w:before="0" w:after="0"/>
        <w:rPr/>
      </w:pPr>
      <w:r>
        <w:rPr/>
        <w:t xml:space="preserve">It would promote wasteful use of energy, by lowering the “marginal cost” to the consumer of each kWh, though the extent to which this happens depends on the amount of tier differential designed into the rates.  </w:t>
      </w:r>
    </w:p>
    <w:p>
      <w:pPr>
        <w:pStyle w:val="BodyText"/>
        <w:spacing w:before="0" w:after="0"/>
        <w:ind w:hanging="0" w:end="0"/>
        <w:rPr>
          <w:b/>
        </w:rPr>
      </w:pPr>
      <w:r>
        <w:rPr>
          <w:b/>
        </w:rPr>
        <w:t>5.12</w:t>
        <w:tab/>
      </w:r>
      <w:r>
        <w:rPr>
          <w:b/>
          <w:u w:val="single"/>
        </w:rPr>
        <w:t>The Basic Charge Increases the Bills of 65-Percent of Residential Customers</w:t>
      </w:r>
    </w:p>
    <w:p>
      <w:pPr>
        <w:pStyle w:val="BodyText"/>
        <w:spacing w:before="0" w:after="0"/>
        <w:rPr/>
      </w:pPr>
      <w:r>
        <w:rPr/>
        <w:t>This is because of the distribution of the energy usage of residential customers.  About two-thirds of residential customers use less than the residential average amount.  The one-third of customers that use more than the average amount use one-half of the total residential electric energy.</w:t>
      </w:r>
    </w:p>
    <w:p>
      <w:pPr>
        <w:pStyle w:val="BodyText"/>
        <w:spacing w:before="0" w:after="0"/>
        <w:rPr/>
      </w:pPr>
      <w:r>
        <w:rPr/>
        <w:t>PG&amp;E’s testimony is extremely misleading on the effects of the basic charge.</w:t>
      </w:r>
      <w:r>
        <w:rPr>
          <w:rStyle w:val="FootnoteCharacters"/>
          <w:rStyle w:val="FootnoteReference"/>
        </w:rPr>
        <w:footnoteReference w:id="33"/>
      </w:r>
      <w:r>
        <w:rPr>
          <w:rStyle w:val="FootnoteCharacters"/>
        </w:rPr>
        <w:t xml:space="preserve"> </w:t>
      </w:r>
      <w:r>
        <w:rPr/>
        <w:t xml:space="preserve"> PG&amp;E compares the “Current Frozen Rates” to the residential rates after the rate freeze is over, with a $5 customer charge future rate and assuming a 3 cents/kWh PX price.  This shows that three-fourths of their residential customers get a reduced bill with the $5/month customer charge.  The correct comparison should be what the rates would be with and without a basic charge with all other things being equal.  This would show rates increasing for 65 percent of residential customers.  This is the correct way to consider the effects of a basic charge.</w:t>
      </w:r>
    </w:p>
    <w:p>
      <w:pPr>
        <w:pStyle w:val="BodyText"/>
        <w:spacing w:before="0" w:after="0"/>
        <w:ind w:hanging="720" w:start="720" w:end="0"/>
        <w:rPr>
          <w:b/>
        </w:rPr>
      </w:pPr>
      <w:r>
        <w:rPr>
          <w:b/>
        </w:rPr>
        <w:t>5.13</w:t>
        <w:tab/>
      </w:r>
      <w:r>
        <w:rPr>
          <w:b/>
          <w:u w:val="single"/>
        </w:rPr>
        <w:t xml:space="preserve">ORA Argues That if a Basic Charge is Instituted It Should Be Only With Certain Modifications </w:t>
      </w:r>
    </w:p>
    <w:p>
      <w:pPr>
        <w:pStyle w:val="BodyText"/>
        <w:spacing w:before="0" w:after="0"/>
        <w:rPr/>
      </w:pPr>
      <w:r>
        <w:rPr/>
        <w:t xml:space="preserve">1. The “basic charge” should not be charged to low-income (CARE Program) customers.  Energy costs are a far greater percentage of income for low-income households than others. </w:t>
      </w:r>
    </w:p>
    <w:p>
      <w:pPr>
        <w:pStyle w:val="BodyText"/>
        <w:spacing w:before="0" w:after="0"/>
        <w:rPr/>
      </w:pPr>
      <w:r>
        <w:rPr/>
        <w:t>2. Customers should be given a choice of being billed at the present flat rate per kWh residential tariff or paying a customer charge and getting a lower rate per kWh.</w:t>
      </w:r>
    </w:p>
    <w:p>
      <w:pPr>
        <w:pStyle w:val="BodyText"/>
        <w:spacing w:before="0" w:after="0"/>
        <w:rPr/>
      </w:pPr>
      <w:r>
        <w:rPr/>
        <w:t>3. If a Basic Charge is Instituted, the Tier Differential Should be Composite.</w:t>
      </w:r>
    </w:p>
    <w:p>
      <w:pPr>
        <w:pStyle w:val="BodyText"/>
        <w:spacing w:before="0" w:after="0"/>
        <w:rPr/>
      </w:pPr>
      <w:r>
        <w:rPr/>
        <w:t>4. A basic charge on residential bills would make PG&amp;E’s income more predictable, thus whether PG&amp;E should receive a lower rate of return on investment on the assured monthly income from the charge should be evaluated in the next Cost of Capital proceeding.</w:t>
      </w:r>
    </w:p>
    <w:p>
      <w:pPr>
        <w:pStyle w:val="BodyText"/>
        <w:spacing w:before="0" w:after="0"/>
        <w:rPr/>
      </w:pPr>
      <w:r>
        <w:rPr/>
        <w:t>5. Since the “marginal cost” for residential customers would go down, the elasticity predicts an increase of 2% in annual sales with the basic charge.  Thus the residential distribution rate should be lowered by 2% to obtain the same expected annual income.</w:t>
      </w:r>
    </w:p>
    <w:p>
      <w:pPr>
        <w:pStyle w:val="BodyText"/>
        <w:spacing w:before="0" w:after="0"/>
        <w:rPr/>
      </w:pPr>
      <w:r>
        <w:rPr/>
        <w:t>Since PG&amp;E defends the basic charge on economic efficiency grounds:</w:t>
      </w:r>
    </w:p>
    <w:p>
      <w:pPr>
        <w:pStyle w:val="BodyText"/>
        <w:spacing w:before="0" w:after="0"/>
        <w:rPr/>
      </w:pPr>
      <w:r>
        <w:rPr/>
        <w:t>5.  The basic charge should be lower to customers in multi-family apartment buildings than in single family residences.</w:t>
      </w:r>
    </w:p>
    <w:p>
      <w:pPr>
        <w:pStyle w:val="BodyText"/>
        <w:numPr>
          <w:ilvl w:val="0"/>
          <w:numId w:val="5"/>
        </w:numPr>
        <w:spacing w:before="0" w:after="0"/>
        <w:ind w:firstLine="720" w:start="0" w:end="0"/>
        <w:rPr/>
      </w:pPr>
      <w:r>
        <w:rPr/>
        <w:t>Or, instead of point 5 above, the basic charge could be based on the kW capacity of the residence’s connection to PG&amp;E.</w:t>
      </w:r>
    </w:p>
    <w:p>
      <w:pPr>
        <w:pStyle w:val="Heading1"/>
        <w:ind w:start="0" w:end="0"/>
        <w:jc w:val="start"/>
        <w:rPr/>
      </w:pPr>
      <w:r>
        <w:rPr/>
        <w:t>5.14</w:t>
        <w:tab/>
      </w:r>
      <w:r>
        <w:rPr>
          <w:u w:val="single"/>
        </w:rPr>
        <w:t>Implications of a Residential “Basic” or “Customer” Charge</w:t>
      </w:r>
    </w:p>
    <w:p>
      <w:pPr>
        <w:pStyle w:val="BodyText"/>
        <w:spacing w:before="0" w:after="0"/>
        <w:rPr/>
      </w:pPr>
      <w:r>
        <w:rPr/>
        <w:t>To separate out the effects of the basic charge, and the two-tier pricing, we will discuss first the effects of the basic charge without tier pricing, then tier pricing.  PG&amp;E has proposed a residential total distribution only total average rate of 3.98 cents/kWh</w:t>
      </w:r>
      <w:r>
        <w:rPr>
          <w:rStyle w:val="FootnoteCharacters"/>
          <w:rStyle w:val="FootnoteReference"/>
        </w:rPr>
        <w:footnoteReference w:id="34"/>
      </w:r>
      <w:r>
        <w:rPr/>
        <w:t xml:space="preserve">, with a $5/month customer charge.  The $5/month customer charge would collect $5 multiplied by 3,989,694 customers multiplied by 12 months per year, or $239,274,000 per year.  Since the residential annual revenue requirement has already been set (at $1,068,669,800), based on a projected annual residential use of 26,851,000,000 kWh, the rate for each kWh would be lowered by 0.89 cents to take in the same revenue requirement.  Roughly speaking, the residential distribution rate would change from about four cents per kWh used, to a five dollar a month charge plus about 3.1 cent per kWh used. </w:t>
      </w:r>
    </w:p>
    <w:p>
      <w:pPr>
        <w:pStyle w:val="BodyText"/>
        <w:spacing w:before="0" w:after="0"/>
        <w:rPr/>
      </w:pPr>
      <w:r>
        <w:rPr/>
        <w:t>How would the customer charge affect customers?  Of course, low energy use customers would pay more and high use customers would pay less due to a customer charge.  Assuming that the reduction per kWh (about one cent) was the same in both the low (baseline) and high tier prices, a customer who used less than 561 kWh per month (the mean use) would pay more, and a customer who used more would pay less than under a flat 3.98 cents/kWh price</w:t>
      </w:r>
    </w:p>
    <w:p>
      <w:pPr>
        <w:pStyle w:val="BodyText"/>
        <w:spacing w:before="0" w:after="0"/>
        <w:rPr/>
      </w:pPr>
      <w:r>
        <w:rPr/>
        <w:t>The customer charge would increase the monthly bills of those that use less than the residential average use of 561 kWh/month, while reducing the bills to residential customers who use more than the average.  Those customers who use very little electricity would be especially hard hit, while those who use very large amounts would receive the most benefit.  A 300 kWh/mo. customer, (about 30 percent of customers use this little or less) would have a bill increase to $171/year from $143 for distribution charges only, or a 20 percent increase.  A customer who used 833 kWh/mo. (about 10-percent use this much) would see an annual distribution-only bill decrease from $398 to $369, or a 7.3 percent decrease.</w:t>
      </w:r>
    </w:p>
    <w:p>
      <w:pPr>
        <w:pStyle w:val="BodyText"/>
        <w:spacing w:before="0" w:after="0"/>
        <w:rPr/>
      </w:pPr>
      <w:r>
        <w:rPr/>
        <w:t>With the PG&amp;E customer use profile, all residential customers who used more than 561 kWh/month would save $120,000,000 per year as a group, with the low use customers paying the same amount more per year.  At first thought it might seem that half the customers would pay more and half less with a customer charge.  This is not true.  Sixty-five percent of the customer’s use less than the average amount of electricity, and thus would pay larger bills with a customer charge.</w:t>
      </w:r>
    </w:p>
    <w:p>
      <w:pPr>
        <w:pStyle w:val="Heading1"/>
        <w:ind w:start="0" w:end="0"/>
        <w:jc w:val="start"/>
        <w:rPr/>
      </w:pPr>
      <w:r>
        <w:rPr/>
        <w:t>5.15</w:t>
        <w:tab/>
      </w:r>
      <w:r>
        <w:rPr>
          <w:u w:val="single"/>
        </w:rPr>
        <w:t>Problems with a Residential “Basic Charge” and Possible Solutions</w:t>
      </w:r>
    </w:p>
    <w:p>
      <w:pPr>
        <w:pStyle w:val="BodyText"/>
        <w:spacing w:before="0" w:after="0"/>
        <w:rPr/>
      </w:pPr>
      <w:r>
        <w:rPr/>
        <w:t>The potential problems with a residential customer charge fall into two categories: equity impacts on low use and low income customers, and sending a “price signal” to residential customers to reduce efforts to conserve energy.</w:t>
      </w:r>
    </w:p>
    <w:p>
      <w:pPr>
        <w:pStyle w:val="BodyText"/>
        <w:spacing w:before="0" w:after="0"/>
        <w:ind w:hanging="0" w:end="0"/>
        <w:rPr/>
      </w:pPr>
      <w:r>
        <w:rPr/>
        <w:t>5.15.1</w:t>
        <w:tab/>
      </w:r>
      <w:r>
        <w:rPr>
          <w:u w:val="single"/>
        </w:rPr>
        <w:t>Customer Charges and Equity</w:t>
      </w:r>
    </w:p>
    <w:p>
      <w:pPr>
        <w:pStyle w:val="BodyText"/>
        <w:spacing w:before="0" w:after="0"/>
        <w:rPr/>
      </w:pPr>
      <w:r>
        <w:rPr/>
        <w:t>Access to electric service has become to be considered a necessity of modern life.  As shown in the previous section, a customer charge increases the cost to those who use relatively smaller amounts of energy.  In general, low-income customers use less electricity.  For example, the PG&amp;E CARE customers take 74 percent their energy in tier 1, compared to 61 percent for all residential customers.  PG&amp;E does not have data on the income vs. usage of its residential customers.  However, a SDG&amp;E survey</w:t>
      </w:r>
      <w:r>
        <w:rPr>
          <w:rStyle w:val="FootnoteCharacters"/>
          <w:rStyle w:val="FootnoteReference"/>
        </w:rPr>
        <w:footnoteReference w:id="35"/>
      </w:r>
      <w:r>
        <w:rPr>
          <w:rStyle w:val="FootnoteCharacters"/>
        </w:rPr>
        <w:t>,</w:t>
      </w:r>
      <w:r>
        <w:rPr/>
        <w:t xml:space="preserve"> found that residential households with an annual income less than $15,000 use 330 kWh per month on average, while households with an annual income greater than $75,000 use an average of 664 kWh per month.</w:t>
      </w:r>
    </w:p>
    <w:p>
      <w:pPr>
        <w:pStyle w:val="BodyText"/>
        <w:spacing w:before="0" w:after="0"/>
        <w:ind w:hanging="0" w:end="0"/>
        <w:rPr/>
      </w:pPr>
      <w:r>
        <w:rPr/>
        <w:t>5.15.2</w:t>
        <w:tab/>
      </w:r>
      <w:r>
        <w:rPr>
          <w:u w:val="single"/>
        </w:rPr>
        <w:t>The CARE Program (California Alternate Rates for Energy</w:t>
      </w:r>
      <w:r>
        <w:rPr>
          <w:rStyle w:val="FootnoteCharacters"/>
          <w:rStyle w:val="FootnoteReference"/>
        </w:rPr>
        <w:footnoteReference w:id="36"/>
      </w:r>
    </w:p>
    <w:p>
      <w:pPr>
        <w:pStyle w:val="BodyText"/>
        <w:spacing w:before="0" w:after="0"/>
        <w:rPr/>
      </w:pPr>
      <w:r>
        <w:rPr/>
        <w:t>One way to eliminate the impact on low-income customers would be to waive or reduce the customer charge for CARE customers.  However, not all low-income customers who are eligible for CARE take advantage of the program.  For example, in the PG&amp;E area, only 30 percent of eligible customers use the program.</w:t>
      </w:r>
      <w:r>
        <w:rPr>
          <w:rStyle w:val="FootnoteCharacters"/>
          <w:rStyle w:val="FootnoteReference"/>
        </w:rPr>
        <w:footnoteReference w:id="37"/>
      </w:r>
      <w:r>
        <w:rPr>
          <w:rStyle w:val="FootnoteCharacters"/>
        </w:rPr>
        <w:t xml:space="preserve">  </w:t>
      </w:r>
      <w:r>
        <w:rPr/>
        <w:t>For one thing, CARE results in only a 15 percent electric rate reduction.  But, part of the problem results from inadequate education by utilities. Also there are several reasons a CARE eligible person might not join the program: an aversion to dealing with government bureaucracy, embarrassment about being on “welfare”, or the difficulty of complying with income reporting.  This last problem exists for many, if not most, of low-income people as their income varies from month to month and is unpredictable.</w:t>
      </w:r>
    </w:p>
    <w:p>
      <w:pPr>
        <w:pStyle w:val="BodyText"/>
        <w:spacing w:before="0" w:after="0"/>
        <w:ind w:hanging="0" w:end="0"/>
        <w:rPr/>
      </w:pPr>
      <w:r>
        <w:rPr/>
        <w:t>5.15.4</w:t>
        <w:tab/>
      </w:r>
      <w:r>
        <w:rPr>
          <w:u w:val="single"/>
        </w:rPr>
        <w:t xml:space="preserve">Option: Give the Customer a Choice about Customer Charges </w:t>
      </w:r>
    </w:p>
    <w:p>
      <w:pPr>
        <w:pStyle w:val="BodyText"/>
        <w:spacing w:before="0" w:after="0"/>
        <w:rPr/>
      </w:pPr>
      <w:r>
        <w:rPr/>
        <w:t>One way to alleviate the impact of a customer charge on low usage customers would be to offer a choice of whether to pay a set rate per kWh or a customer charge plus a lower rate per kWh.  This is consistent with the trend toward more customer choice under restructuring.  The easiest way to do this would be to leave the flat rate per kWh charge as the default option, yet give customers the ability to choose the customer charge option if they wanted.  The rational choice (i.e., that giving the lowest distribution cost) for the two-thirds of residential customers using less than the average kWh per month would be to stay with the old system, while the customers using more than the average would save money by switching to the customer charge option.  Of course, there would be a large number of customers with near to average kWh usage, who would see little difference in the cost of the two options.  Customers with monthly usage from 425 to 650 kWh (26.5 percent of residential customers) would see bill differences between the two options of less than a dollar a month.</w:t>
      </w:r>
    </w:p>
    <w:p>
      <w:pPr>
        <w:pStyle w:val="BodyText"/>
        <w:spacing w:before="0" w:after="0"/>
        <w:rPr>
          <w:b/>
          <w:u w:val="single"/>
        </w:rPr>
      </w:pPr>
      <w:r>
        <w:rPr/>
        <w:t xml:space="preserve">If the rate options were left the same as computed above (i.e., 4.214 cents/kWh </w:t>
      </w:r>
      <w:r>
        <w:rPr>
          <w:u w:val="single"/>
        </w:rPr>
        <w:t xml:space="preserve">or </w:t>
      </w:r>
      <w:r>
        <w:rPr/>
        <w:t>$5/month plus 3.2 cents/kWh), and every customer made the rational choice, the total revenue collected would now be less than required, by $15,706,000</w:t>
      </w:r>
      <w:r>
        <w:rPr>
          <w:rStyle w:val="FootnoteCharacters"/>
          <w:rStyle w:val="FootnoteReference"/>
        </w:rPr>
        <w:footnoteReference w:id="38"/>
      </w:r>
      <w:r>
        <w:rPr>
          <w:rStyle w:val="FootnoteCharacters"/>
        </w:rPr>
        <w:t>.</w:t>
      </w:r>
      <w:r>
        <w:rPr/>
        <w:t xml:space="preserve">  This is a shortfall of 5.9 percent.  Thus the rates for both classes would have to be raised by up to this amount (depending on what proportion of customers make the “rational choice”) to maintain the revenue requirement.  This would have the result of reducing the impact on the very low and very high energy usage customers.</w:t>
      </w:r>
    </w:p>
    <w:p>
      <w:pPr>
        <w:pStyle w:val="Heading2"/>
        <w:spacing w:lineRule="auto" w:line="360" w:before="0" w:after="0"/>
        <w:ind w:hanging="0" w:start="0"/>
        <w:jc w:val="start"/>
        <w:rPr/>
      </w:pPr>
      <w:r>
        <w:rPr>
          <w:rFonts w:cs="Times New Roman" w:ascii="Times New Roman" w:hAnsi="Times New Roman"/>
          <w:b w:val="false"/>
        </w:rPr>
        <w:t>5.15.5</w:t>
        <w:tab/>
      </w:r>
      <w:r>
        <w:rPr>
          <w:rFonts w:cs="Times New Roman" w:ascii="Times New Roman" w:hAnsi="Times New Roman"/>
          <w:b w:val="false"/>
          <w:u w:val="single"/>
        </w:rPr>
        <w:t>Different Customer Rates for Single Family Residences vs. Apartments</w:t>
      </w:r>
    </w:p>
    <w:p>
      <w:pPr>
        <w:pStyle w:val="BodyText"/>
        <w:spacing w:before="0" w:after="0"/>
        <w:rPr/>
      </w:pPr>
      <w:r>
        <w:rPr/>
        <w:t>Another way to partially ameliorate the rate impacts of a customer charge on lower income customers, and one that is consistent with economic efficiency, is to impose different customer charges on single family residences than on multifamily residences. This approach has been taken by some utilities, and the customer charges for multi-family dwellings have varied from 55 percent</w:t>
      </w:r>
      <w:r>
        <w:rPr>
          <w:rStyle w:val="FootnoteCharacters"/>
          <w:rStyle w:val="FootnoteReference"/>
        </w:rPr>
        <w:footnoteReference w:id="39"/>
      </w:r>
      <w:r>
        <w:rPr>
          <w:rStyle w:val="FootnoteCharacters"/>
        </w:rPr>
        <w:t xml:space="preserve"> </w:t>
      </w:r>
      <w:r>
        <w:rPr/>
        <w:t xml:space="preserve">to 75 percent </w:t>
      </w:r>
      <w:r>
        <w:rPr>
          <w:rStyle w:val="FootnoteCharacters"/>
          <w:rStyle w:val="FootnoteReference"/>
        </w:rPr>
        <w:footnoteReference w:id="40"/>
      </w:r>
      <w:r>
        <w:rPr>
          <w:rStyle w:val="FootnoteCharacters"/>
        </w:rPr>
        <w:t xml:space="preserve"> </w:t>
      </w:r>
      <w:r>
        <w:rPr/>
        <w:t>of those for single family residences.  Thus PG&amp;E could ask a customer charge for a single-family residence of $5/month, and a charge for an apartment or condominium of from $2.75 to $3.75/month.</w:t>
      </w:r>
    </w:p>
    <w:p>
      <w:pPr>
        <w:pStyle w:val="BodyText"/>
        <w:spacing w:before="0" w:after="0"/>
        <w:ind w:hanging="0" w:end="0"/>
        <w:rPr/>
      </w:pPr>
      <w:r>
        <w:rPr/>
        <w:t>5.15.6</w:t>
        <w:tab/>
      </w:r>
      <w:r>
        <w:rPr>
          <w:u w:val="single"/>
        </w:rPr>
        <w:t>Customer Charge Based on Capacity</w:t>
      </w:r>
    </w:p>
    <w:p>
      <w:pPr>
        <w:pStyle w:val="BodyText"/>
        <w:spacing w:before="0" w:after="0"/>
        <w:rPr/>
      </w:pPr>
      <w:r>
        <w:rPr/>
        <w:t>A possibility with somewhat similar results to the previous option would be to set a customer charge (which might also be called a “capacity charge”) based on the electrical capacity of the residence.</w:t>
      </w:r>
      <w:r>
        <w:rPr>
          <w:color w:val="0000FF"/>
        </w:rPr>
        <w:t xml:space="preserve"> </w:t>
      </w:r>
      <w:r>
        <w:rPr/>
        <w:t>"Capacity" is the maximum demand possible for a given customer.  For rate purposes, it should probably be expressed in Kilowatts (kW), as it is essentially the same thing a "billing demand", just determined differently.  As a practical matter, the maximum possible kW demand would be calculated from the voltage and the capacity of the electrical service expressed in amperes.  This reflects the relationship between the maximum demand a customer imposes on a distribution system and the appropriate share of the total system capacity costs.  This approach also has the advantage that it could possibly be applied to commercial and possibly even industrial customers, giving a consistent rate setting method while reducing the problems of finding relative marginal costs between customer classes.</w:t>
      </w:r>
    </w:p>
    <w:p>
      <w:pPr>
        <w:pStyle w:val="BodyTextIndent"/>
        <w:spacing w:before="0" w:after="0"/>
        <w:rPr/>
      </w:pPr>
      <w:r>
        <w:rPr/>
        <w:t>The maximum capacity of any particular customer would be the lowest of these three items:</w:t>
      </w:r>
    </w:p>
    <w:p>
      <w:pPr>
        <w:pStyle w:val="Normal"/>
        <w:spacing w:lineRule="auto" w:line="360"/>
        <w:ind w:start="360" w:end="0"/>
        <w:rPr/>
      </w:pPr>
      <w:r>
        <w:rPr/>
        <w:t>1. The service conductor into the property, which the utility certainly knew at one time, and could probably estimate very closely, based on vintage of construction, if they no longer maintain the data.</w:t>
      </w:r>
    </w:p>
    <w:p>
      <w:pPr>
        <w:pStyle w:val="Normal"/>
        <w:spacing w:lineRule="auto" w:line="360"/>
        <w:ind w:start="360" w:end="0"/>
        <w:rPr/>
      </w:pPr>
      <w:r>
        <w:rPr/>
        <w:t>2. The meter, which has either a 100 or 200 Amp maximum capacity, or a "instrument-class" meter in which case there will be a study on file indicating maximum expected demand, or.</w:t>
      </w:r>
    </w:p>
    <w:p>
      <w:pPr>
        <w:pStyle w:val="Normal"/>
        <w:spacing w:lineRule="auto" w:line="360"/>
        <w:ind w:start="360" w:end="0"/>
        <w:rPr/>
      </w:pPr>
      <w:r>
        <w:rPr/>
        <w:t>3.The rated capacity of the customer's service panel.</w:t>
      </w:r>
    </w:p>
    <w:p>
      <w:pPr>
        <w:pStyle w:val="BodyText"/>
        <w:spacing w:before="0" w:after="0"/>
        <w:rPr/>
      </w:pPr>
      <w:r>
        <w:rPr/>
        <w:t>Most single family residences have 60, 100, or 200 Amp services.  Some very large residences have 300 and 500 Amp services, while some older and smaller homes and apartments have 50 and 75 Amp services.  For example the customer charge (capacity charge) could be set as $0.03/Amp.  This would give an average customer charge of about $5/month, but one that would vary from $1.50 for a small older apartment to $15 for an extremely large residence.</w:t>
      </w:r>
    </w:p>
    <w:p>
      <w:pPr>
        <w:pStyle w:val="BodyText"/>
        <w:spacing w:before="0" w:after="0"/>
        <w:ind w:hanging="0" w:end="0"/>
        <w:rPr/>
      </w:pPr>
      <w:r>
        <w:rPr>
          <w:b/>
        </w:rPr>
        <w:t>5.16</w:t>
        <w:tab/>
      </w:r>
      <w:r>
        <w:rPr>
          <w:b/>
          <w:u w:val="single"/>
        </w:rPr>
        <w:t>A Basic Charge would Discourage Energy Conservation</w:t>
      </w:r>
    </w:p>
    <w:p>
      <w:pPr>
        <w:pStyle w:val="BodyText"/>
        <w:spacing w:before="0" w:after="0"/>
        <w:rPr/>
      </w:pPr>
      <w:r>
        <w:rPr/>
        <w:t xml:space="preserve">This could be a potential problem with customer charges.  Since they reduce the cost per kWh for the customer, would customers use more energy with the lower marginal cost that accompanies a customer charge?  PG&amp;E does not supply estimates of price elasticity for customer classes.  However, SDG&amp;E estimate the price elasticity of residential electric energy as –0.074  </w:t>
      </w:r>
      <w:r>
        <w:rPr>
          <w:rStyle w:val="FootnoteCharacters"/>
          <w:rStyle w:val="FootnoteReference"/>
        </w:rPr>
        <w:footnoteReference w:id="41"/>
      </w:r>
      <w:r>
        <w:rPr>
          <w:rStyle w:val="FootnoteCharacters"/>
        </w:rPr>
        <w:t xml:space="preserve">. </w:t>
      </w:r>
      <w:r>
        <w:rPr/>
        <w:t xml:space="preserve">   The reduction in the total residential cost per kWh of 1.11 cents with the $5/month customer charge compared to the total cost of electricity (PX+T&amp;D+other charges) of 10.4 cents represents a drop of 10.7 percent.  Multiplied by the elasticity, this would predict an increased use of 0.79 percent.  </w:t>
      </w:r>
    </w:p>
    <w:p>
      <w:pPr>
        <w:pStyle w:val="BodyText"/>
        <w:spacing w:before="0" w:after="0"/>
        <w:rPr/>
      </w:pPr>
      <w:r>
        <w:rPr/>
        <w:t xml:space="preserve">Is this a bad thing?  Economic efficiency theory says no.  If customers want to “waste” energy by turning down their air conditioner setting, or using less efficient appliances, that should be their right if they are paying the true costs of their electricity.  However, some people accept economic efficiency theory, but argue that the economic cost of energy does not reflect the “external” costs of energy.  The effects of fossil fuel burning include air pollution and the production of carbon dioxide and the “greenhouse effect”.  It is difficult to put a precise cost on these external costs.  In the future, if the U.S. accepts the Kyoto accords carbon dioxide limits, the cost of electricity produced by the burning of natural gas will increase substantially.  So it might be a mistake to promote excessive use of energy at this time.  </w:t>
      </w:r>
    </w:p>
    <w:p>
      <w:pPr>
        <w:pStyle w:val="BodyText"/>
        <w:spacing w:before="0" w:after="0"/>
        <w:rPr/>
      </w:pPr>
      <w:r>
        <w:rPr/>
        <w:t>It can be argued that proper costing of the distribution system is independent of how generation is priced.  We can consider making distribution rates non-cost-based to since this is necessary to compensate for externalities not captured in the energy price.  Another way to address this problem would be to increase the second tier (tailblock) energy rates, which can be done with or without a customer charge.</w:t>
      </w:r>
    </w:p>
    <w:p>
      <w:pPr>
        <w:pStyle w:val="Heading1"/>
        <w:ind w:start="0" w:end="0"/>
        <w:jc w:val="start"/>
        <w:rPr/>
      </w:pPr>
      <w:r>
        <w:rPr/>
        <w:t>5.17</w:t>
        <w:tab/>
      </w:r>
      <w:r>
        <w:rPr>
          <w:u w:val="single"/>
        </w:rPr>
        <w:t>If a Basic Charge is Instituted, the Tier Differential Should be Composite</w:t>
      </w:r>
    </w:p>
    <w:p>
      <w:pPr>
        <w:pStyle w:val="BodyText"/>
        <w:spacing w:before="0" w:after="0"/>
        <w:rPr/>
      </w:pPr>
      <w:r>
        <w:rPr/>
        <w:t>The price differential in cent/kWh between baseline or first tier energy and second tier (Now 15-perecnt but 25-percent without a basic charge if the ORA proposal is accepted) should be increased if a basic charge is added.  This tier differential should be set to return the revenue collected through the basic charge to the first tier energy use.  Otherwise, the basic charge would transfer costs to low energy users from high energy users, compared to the no basic charge approach.  This increased tier differential would partially alleviate the objections to a basic charge.  This method is called a “composite tier differential” by PG&amp;E</w:t>
      </w:r>
      <w:r>
        <w:rPr>
          <w:rStyle w:val="FootnoteCharacters"/>
          <w:rStyle w:val="FootnoteReference"/>
        </w:rPr>
        <w:footnoteReference w:id="42"/>
      </w:r>
      <w:r>
        <w:rPr>
          <w:rStyle w:val="FootnoteCharacters"/>
        </w:rPr>
        <w:t>,</w:t>
      </w:r>
      <w:r>
        <w:rPr/>
        <w:t xml:space="preserve"> as opposed to their proposed “simple tier differential</w:t>
      </w:r>
    </w:p>
    <w:p>
      <w:pPr>
        <w:pStyle w:val="Normal"/>
        <w:spacing w:lineRule="auto" w:line="360"/>
        <w:rPr>
          <w:b/>
        </w:rPr>
      </w:pPr>
      <w:r>
        <w:rPr>
          <w:b/>
        </w:rPr>
        <w:t>5.18</w:t>
        <w:tab/>
      </w:r>
      <w:r>
        <w:rPr>
          <w:b/>
          <w:u w:val="single"/>
        </w:rPr>
        <w:t xml:space="preserve">Options for Rate Crisis  </w:t>
      </w:r>
    </w:p>
    <w:p>
      <w:pPr>
        <w:pStyle w:val="BodyText"/>
        <w:spacing w:before="0" w:after="0"/>
        <w:rPr/>
      </w:pPr>
      <w:r>
        <w:rPr/>
        <w:t>ORA recommends the Commission take a closer look at recent energy price crisis and its effect on residential customers.  In light of the current electrical conditions facing California, ORA feels this is an appropriate time to consider options to give relief to the residential rate class.  ORA agrees with the sentiments expressed in a recent report to the governor issued by Commissioners Lynch and Michael Kahn of the Energy Oversight Board:</w:t>
      </w:r>
    </w:p>
    <w:p>
      <w:pPr>
        <w:pStyle w:val="BodyText"/>
        <w:spacing w:lineRule="auto" w:line="240" w:before="0" w:after="0"/>
        <w:ind w:hanging="0" w:start="720" w:end="0"/>
        <w:rPr>
          <w:b/>
        </w:rPr>
      </w:pPr>
      <w:r>
        <w:rPr/>
        <w:t>High electric prices are particularly burdensome for low income and senior customers.  The PUC should investigate ways of protecting low income and senior customers from the immediate effects of high rates and, if high rates persist, reconsider the discounts offered under the CARE program.</w:t>
      </w:r>
      <w:r>
        <w:rPr>
          <w:b/>
        </w:rPr>
        <w:t xml:space="preserve"> </w:t>
      </w:r>
      <w:r>
        <w:rPr>
          <w:rStyle w:val="FootnoteCharacters"/>
          <w:rStyle w:val="FootnoteReference"/>
          <w:b/>
        </w:rPr>
        <w:footnoteReference w:id="43"/>
      </w:r>
    </w:p>
    <w:p>
      <w:pPr>
        <w:pStyle w:val="BodyText"/>
        <w:spacing w:before="0" w:after="0"/>
        <w:ind w:hanging="0" w:start="720" w:end="0"/>
        <w:rPr>
          <w:b/>
        </w:rPr>
      </w:pPr>
      <w:r>
        <w:rPr>
          <w:b/>
        </w:rPr>
      </w:r>
    </w:p>
    <w:p>
      <w:pPr>
        <w:pStyle w:val="Heading1"/>
        <w:ind w:start="0" w:end="0"/>
        <w:jc w:val="start"/>
        <w:rPr>
          <w:b w:val="false"/>
        </w:rPr>
      </w:pPr>
      <w:r>
        <w:rPr>
          <w:b w:val="false"/>
        </w:rPr>
        <w:t>5.18.1</w:t>
        <w:tab/>
      </w:r>
      <w:r>
        <w:rPr>
          <w:b w:val="false"/>
          <w:u w:val="single"/>
        </w:rPr>
        <w:t>Increasing the CARE Discount</w:t>
      </w:r>
    </w:p>
    <w:p>
      <w:pPr>
        <w:pStyle w:val="Heading1"/>
        <w:ind w:firstLine="720" w:start="0" w:end="0"/>
        <w:jc w:val="start"/>
        <w:rPr>
          <w:b w:val="false"/>
        </w:rPr>
      </w:pPr>
      <w:r>
        <w:rPr>
          <w:b w:val="false"/>
        </w:rPr>
        <w:t xml:space="preserve">Currently CARE customers receive a 15 percent discount on their total bill. In the past, when low-income customers were protected from commodity price volatility by the monopoly structure, a 15 percent discount may have been sufficient.  Today, however with the onset of competition on the horizon, low-income customers are faced with extremely high summer energy prices.  In an environment where a market where market power appears to exist, an argument can be made for increasing the CARE discount. </w:t>
      </w:r>
    </w:p>
    <w:p>
      <w:pPr>
        <w:pStyle w:val="Heading1"/>
        <w:ind w:firstLine="720" w:start="0" w:end="0"/>
        <w:jc w:val="start"/>
        <w:rPr>
          <w:b w:val="false"/>
        </w:rPr>
      </w:pPr>
      <w:r>
        <w:rPr>
          <w:b w:val="false"/>
        </w:rPr>
        <w:t xml:space="preserve">The situation faced by PG&amp;E’s customers may not be quite as severe as what is happening in the San Diego Electric and Gas territory (SDG&amp;E), but there is still cause for concern.  The adopted rates and policy from this proceeding are intended to take effect when PG&amp;E finishes paying off its Competition Transition Charge (CTC), when PG&amp;E will be exposed to the same commodity price volatility as faced by the customers of SDG&amp;E.  </w:t>
      </w:r>
    </w:p>
    <w:p>
      <w:pPr>
        <w:pStyle w:val="Heading1"/>
        <w:ind w:firstLine="720" w:start="0" w:end="0"/>
        <w:jc w:val="start"/>
        <w:rPr>
          <w:b w:val="false"/>
        </w:rPr>
      </w:pPr>
      <w:r>
        <w:rPr>
          <w:b w:val="false"/>
        </w:rPr>
        <w:t>Electricity is a necessity and sometimes a crucial element for supporting life. As stated in PU Code section 739 (c) 2:</w:t>
      </w:r>
    </w:p>
    <w:p>
      <w:pPr>
        <w:pStyle w:val="Heading1"/>
        <w:spacing w:lineRule="auto" w:line="240"/>
        <w:jc w:val="start"/>
        <w:rPr>
          <w:b w:val="false"/>
        </w:rPr>
      </w:pPr>
      <w:r>
        <w:rPr>
          <w:b w:val="false"/>
        </w:rPr>
        <w:t>In establishing residential electric and gas rates, including baseline rates, the commission shall assure that the rates are sufficient to enable the electrical corporation or gas corporation to recover a just and reasonable amount of revenue from residential customers as a class, while observing the principle that electricity and gas service are necessities, for which a low affordable rate is desirable.</w:t>
      </w:r>
    </w:p>
    <w:p>
      <w:pPr>
        <w:pStyle w:val="Heading1"/>
        <w:ind w:firstLine="720" w:start="0" w:end="0"/>
        <w:jc w:val="start"/>
        <w:rPr>
          <w:b w:val="false"/>
        </w:rPr>
      </w:pPr>
      <w:r>
        <w:rPr>
          <w:b w:val="false"/>
        </w:rPr>
      </w:r>
    </w:p>
    <w:p>
      <w:pPr>
        <w:pStyle w:val="Heading1"/>
        <w:ind w:firstLine="720" w:start="0" w:end="0"/>
        <w:jc w:val="start"/>
        <w:rPr>
          <w:b w:val="false"/>
        </w:rPr>
      </w:pPr>
      <w:r>
        <w:rPr>
          <w:b w:val="false"/>
        </w:rPr>
        <w:t xml:space="preserve">ORA believes that raising the CARE discount to 25% should be considered as a viable option.  By increasing the CARE discount, the commission can give some reassurance that low income customer will be able to afford energy in a competitive market. </w:t>
      </w:r>
    </w:p>
    <w:p>
      <w:pPr>
        <w:pStyle w:val="Heading1"/>
        <w:ind w:start="0" w:end="0"/>
        <w:jc w:val="start"/>
        <w:rPr>
          <w:b w:val="false"/>
        </w:rPr>
      </w:pPr>
      <w:r>
        <w:rPr>
          <w:b w:val="false"/>
        </w:rPr>
        <w:t>5.18.2</w:t>
        <w:tab/>
      </w:r>
      <w:r>
        <w:rPr>
          <w:b w:val="false"/>
          <w:u w:val="single"/>
        </w:rPr>
        <w:t>Increasing Baseline Quantities</w:t>
      </w:r>
    </w:p>
    <w:p>
      <w:pPr>
        <w:pStyle w:val="Heading1"/>
        <w:ind w:firstLine="720" w:start="0" w:end="0"/>
        <w:jc w:val="start"/>
        <w:rPr>
          <w:b w:val="false"/>
        </w:rPr>
      </w:pPr>
      <w:r>
        <w:rPr>
          <w:b w:val="false"/>
        </w:rPr>
        <w:t>Another option that could help residential customers would be to increase baseline quantities for all residential customers.  PU Code Section 739 (d) 1 defines the baseline quantity as follows:</w:t>
      </w:r>
    </w:p>
    <w:p>
      <w:pPr>
        <w:pStyle w:val="Heading1"/>
        <w:spacing w:lineRule="auto" w:line="240"/>
        <w:jc w:val="start"/>
        <w:rPr>
          <w:b w:val="false"/>
        </w:rPr>
      </w:pPr>
      <w:r>
        <w:rPr>
          <w:b w:val="false"/>
        </w:rPr>
        <w:t>“</w:t>
      </w:r>
      <w:r>
        <w:rPr>
          <w:b w:val="false"/>
        </w:rPr>
        <w:t xml:space="preserve">Baseline Quantity” means a quantity of electricity or gas for residential customers to be established by the commission based on from 50 to 60 percent of average residential consumption of these commodities, </w:t>
      </w:r>
    </w:p>
    <w:p>
      <w:pPr>
        <w:pStyle w:val="Heading1"/>
        <w:ind w:firstLine="720" w:start="0" w:end="0"/>
        <w:jc w:val="start"/>
        <w:rPr>
          <w:b w:val="false"/>
        </w:rPr>
      </w:pPr>
      <w:r>
        <w:rPr>
          <w:b w:val="false"/>
        </w:rPr>
      </w:r>
    </w:p>
    <w:p>
      <w:pPr>
        <w:pStyle w:val="Heading1"/>
        <w:ind w:firstLine="720" w:start="0" w:end="0"/>
        <w:jc w:val="start"/>
        <w:rPr>
          <w:b w:val="false"/>
        </w:rPr>
      </w:pPr>
      <w:r>
        <w:rPr>
          <w:b w:val="false"/>
        </w:rPr>
        <w:t>An increase to the baseline quantity would help the entire residential class of customers, including CARE customers.  Currently, PG&amp;E has seasonally differentiated baseline quantities, with 50 to 60 percent of typical usage in the summer and 60 to 70 percent in the winter.  Considering that the summer season exacerbates the price burdens experienced by residential customers, this increase could simply concentrate on those months where customers experience the highest bills.  The baseline quantities for the summer period could be increased from 50 – 60 percent of typical usage to 60 – 70 of percent of typical usage. The winter period could be increased from by a slightly lower percentage.  Residential customers would then be guaranteed more energy at the more affordable Tier 1 rate.</w:t>
      </w:r>
    </w:p>
    <w:p>
      <w:pPr>
        <w:pStyle w:val="Heading1"/>
        <w:ind w:start="0" w:end="0"/>
        <w:jc w:val="start"/>
        <w:rPr>
          <w:b w:val="false"/>
        </w:rPr>
      </w:pPr>
      <w:r>
        <w:rPr>
          <w:b w:val="false"/>
        </w:rPr>
        <w:t>5.18.2</w:t>
        <w:tab/>
      </w:r>
      <w:r>
        <w:rPr>
          <w:b w:val="false"/>
          <w:u w:val="single"/>
        </w:rPr>
        <w:t>Capping the Tier 1 PX Component of Rates</w:t>
      </w:r>
    </w:p>
    <w:p>
      <w:pPr>
        <w:pStyle w:val="Heading1"/>
        <w:ind w:firstLine="720" w:start="0" w:end="0"/>
        <w:jc w:val="start"/>
        <w:rPr>
          <w:b w:val="false"/>
        </w:rPr>
      </w:pPr>
      <w:r>
        <w:rPr>
          <w:b w:val="false"/>
        </w:rPr>
        <w:t xml:space="preserve">The commission could also cap the Tier 1 PX Component of residential rates in order to guarantee affordable energy for all residential customers.  There exists at least two possible ways to cap the baseline PX component; 1) Establishing a balancing account for the baseline shortfall, or 2) Including the baseline shortfall in Tier 2 rates.  This may be the most palatable of all options, because it can be designed to be case sensitive.  </w:t>
      </w:r>
    </w:p>
    <w:p>
      <w:pPr>
        <w:pStyle w:val="Heading1"/>
        <w:ind w:firstLine="720" w:start="0" w:end="0"/>
        <w:jc w:val="start"/>
        <w:rPr>
          <w:b w:val="false"/>
        </w:rPr>
      </w:pPr>
      <w:r>
        <w:rPr>
          <w:b w:val="false"/>
        </w:rPr>
        <w:t>For instance, if the commodity price was to increase above 10 cents/kWh, then a 4 cents/kWh cap could be placed on Tier 1 rates and a 10 cents/kWh cap on Tier 2 rates with a balancing account to collect any under collection.</w:t>
      </w:r>
    </w:p>
    <w:p>
      <w:pPr>
        <w:pStyle w:val="Heading1"/>
        <w:ind w:firstLine="720" w:start="0" w:end="0"/>
        <w:jc w:val="start"/>
        <w:rPr>
          <w:b w:val="false"/>
        </w:rPr>
      </w:pPr>
      <w:r>
        <w:rPr>
          <w:b w:val="false"/>
        </w:rPr>
        <w:t xml:space="preserve">ORA has attempted to use the IRM to depict these rates, but found it difficult to get the model to accommodate this scenario.  </w:t>
      </w:r>
    </w:p>
    <w:p>
      <w:pPr>
        <w:pStyle w:val="Heading1"/>
        <w:ind w:start="0" w:end="0"/>
        <w:jc w:val="start"/>
        <w:rPr/>
      </w:pPr>
      <w:r>
        <w:rPr/>
        <w:t>5.19</w:t>
        <w:tab/>
      </w:r>
      <w:r>
        <w:rPr>
          <w:u w:val="single"/>
        </w:rPr>
        <w:t>Recommendation</w:t>
      </w:r>
    </w:p>
    <w:p>
      <w:pPr>
        <w:pStyle w:val="Heading1"/>
        <w:ind w:firstLine="720" w:start="0" w:end="0"/>
        <w:jc w:val="start"/>
        <w:rPr>
          <w:b w:val="false"/>
        </w:rPr>
      </w:pPr>
      <w:r>
        <w:rPr>
          <w:b w:val="false"/>
        </w:rPr>
        <w:t xml:space="preserve">ORA’s recommendations for the residential class rate structure are as follows: </w:t>
      </w:r>
    </w:p>
    <w:p>
      <w:pPr>
        <w:pStyle w:val="Heading1"/>
        <w:numPr>
          <w:ilvl w:val="0"/>
          <w:numId w:val="10"/>
        </w:numPr>
        <w:jc w:val="start"/>
        <w:rPr>
          <w:b w:val="false"/>
        </w:rPr>
      </w:pPr>
      <w:r>
        <w:rPr>
          <w:b w:val="false"/>
        </w:rPr>
        <w:t xml:space="preserve">The Commission should adopt the proposed schedule E-1 with minor alterations for Time of Use customers.  </w:t>
      </w:r>
    </w:p>
    <w:p>
      <w:pPr>
        <w:pStyle w:val="Heading1"/>
        <w:numPr>
          <w:ilvl w:val="0"/>
          <w:numId w:val="4"/>
        </w:numPr>
        <w:jc w:val="start"/>
        <w:rPr>
          <w:b w:val="false"/>
        </w:rPr>
      </w:pPr>
      <w:r>
        <w:rPr>
          <w:b w:val="false"/>
        </w:rPr>
        <w:t xml:space="preserve">The Commission should not accept PG&amp;E’s proposed “basic charge”.  </w:t>
      </w:r>
    </w:p>
    <w:p>
      <w:pPr>
        <w:pStyle w:val="Heading1"/>
        <w:numPr>
          <w:ilvl w:val="0"/>
          <w:numId w:val="4"/>
        </w:numPr>
        <w:jc w:val="start"/>
        <w:rPr>
          <w:b w:val="false"/>
        </w:rPr>
      </w:pPr>
      <w:r>
        <w:rPr>
          <w:b w:val="false"/>
        </w:rPr>
        <w:t xml:space="preserve">The Commission should carefully examine this proposal and its subsequent impact on the residential customer class.  </w:t>
      </w:r>
    </w:p>
    <w:p>
      <w:pPr>
        <w:pStyle w:val="Heading1"/>
        <w:numPr>
          <w:ilvl w:val="0"/>
          <w:numId w:val="4"/>
        </w:numPr>
        <w:jc w:val="start"/>
        <w:rPr>
          <w:b w:val="false"/>
        </w:rPr>
      </w:pPr>
      <w:r>
        <w:rPr>
          <w:b w:val="false"/>
        </w:rPr>
        <w:t xml:space="preserve">If the basic charge is instituted, it should be only with certain modifications.  </w:t>
      </w:r>
    </w:p>
    <w:p>
      <w:pPr>
        <w:pStyle w:val="Heading1"/>
        <w:numPr>
          <w:ilvl w:val="0"/>
          <w:numId w:val="4"/>
        </w:numPr>
        <w:jc w:val="start"/>
        <w:rPr>
          <w:b w:val="false"/>
        </w:rPr>
      </w:pPr>
      <w:r>
        <w:rPr>
          <w:b w:val="false"/>
        </w:rPr>
        <w:t xml:space="preserve">The tier differential should be increased to 25% based on the total electric rate for residential customers.  </w:t>
      </w:r>
    </w:p>
    <w:p>
      <w:pPr>
        <w:sectPr>
          <w:footerReference w:type="default" r:id="rId14"/>
          <w:footerReference w:type="first" r:id="rId15"/>
          <w:footnotePr>
            <w:numFmt w:val="decimal"/>
          </w:footnotePr>
          <w:type w:val="nextPage"/>
          <w:pgSz w:w="12240" w:h="15840"/>
          <w:pgMar w:left="1800" w:right="1800" w:gutter="0" w:header="0" w:top="1440" w:footer="720" w:bottom="1440"/>
          <w:lnNumType w:countBy="1" w:restart="newPage" w:distance="283"/>
          <w:pgNumType w:start="1" w:fmt="decimal"/>
          <w:formProt w:val="false"/>
          <w:textDirection w:val="lrTb"/>
          <w:docGrid w:type="default" w:linePitch="360" w:charSpace="0"/>
        </w:sectPr>
        <w:pStyle w:val="Heading1"/>
        <w:ind w:start="0" w:end="0"/>
        <w:jc w:val="start"/>
        <w:rPr>
          <w:b w:val="false"/>
        </w:rPr>
      </w:pPr>
      <w:r>
        <w:rPr>
          <w:b w:val="false"/>
        </w:rPr>
        <w:t>ORA also proposes options for relieving the burden of volatile commodity prices on CARE customers, and the entire residential customer class.</w:t>
      </w:r>
    </w:p>
    <w:p>
      <w:pPr>
        <w:pStyle w:val="Normal"/>
        <w:spacing w:lineRule="auto" w:line="360"/>
        <w:jc w:val="center"/>
        <w:rPr/>
      </w:pPr>
      <w:r>
        <w:rPr>
          <w:b/>
          <w:caps/>
          <w:sz w:val="28"/>
        </w:rPr>
        <w:t>Chapter</w:t>
      </w:r>
      <w:r>
        <w:rPr>
          <w:b/>
          <w:sz w:val="28"/>
        </w:rPr>
        <w:t xml:space="preserve"> 6</w:t>
      </w:r>
    </w:p>
    <w:p>
      <w:pPr>
        <w:pStyle w:val="Heading4"/>
        <w:widowControl/>
        <w:ind w:hanging="0" w:start="0"/>
        <w:rPr>
          <w:u w:val="single"/>
        </w:rPr>
      </w:pPr>
      <w:r>
        <w:rPr>
          <w:u w:val="single"/>
        </w:rPr>
        <w:t>LARGE LIGHT AND POWER RATE DESIGN</w:t>
      </w:r>
    </w:p>
    <w:p>
      <w:pPr>
        <w:pStyle w:val="Normal"/>
        <w:spacing w:lineRule="auto" w:line="360"/>
        <w:jc w:val="center"/>
        <w:rPr>
          <w:b/>
          <w:u w:val="single"/>
        </w:rPr>
      </w:pPr>
      <w:r>
        <w:rPr>
          <w:b/>
          <w:u w:val="single"/>
        </w:rPr>
      </w:r>
    </w:p>
    <w:p>
      <w:pPr>
        <w:pStyle w:val="Normal"/>
        <w:spacing w:lineRule="auto" w:line="360"/>
        <w:jc w:val="center"/>
        <w:rPr>
          <w:b/>
        </w:rPr>
      </w:pPr>
      <w:r>
        <w:rPr>
          <w:b/>
        </w:rPr>
        <w:t>Witness: William Gibson</w:t>
      </w:r>
    </w:p>
    <w:p>
      <w:pPr>
        <w:pStyle w:val="Normal"/>
        <w:rPr>
          <w:b/>
        </w:rPr>
      </w:pPr>
      <w:r>
        <w:rPr>
          <w:b/>
        </w:rPr>
      </w:r>
    </w:p>
    <w:p>
      <w:pPr>
        <w:pStyle w:val="Normal"/>
        <w:widowControl w:val="false"/>
        <w:spacing w:lineRule="auto" w:line="360"/>
        <w:rPr/>
      </w:pPr>
      <w:r>
        <w:rPr>
          <w:b/>
        </w:rPr>
        <w:t>6.1</w:t>
        <w:tab/>
      </w:r>
      <w:r>
        <w:rPr>
          <w:b/>
          <w:u w:val="single"/>
        </w:rPr>
        <w:t xml:space="preserve">Introduction and Overview </w:t>
      </w:r>
    </w:p>
    <w:p>
      <w:pPr>
        <w:pStyle w:val="BodyTextIndent2"/>
        <w:ind w:firstLine="720" w:start="0" w:end="0"/>
        <w:rPr>
          <w:b w:val="false"/>
        </w:rPr>
      </w:pPr>
      <w:r>
        <w:rPr>
          <w:b w:val="false"/>
        </w:rPr>
        <w:t>This chapter presents ORA’s recommendation for large commercial and industrial (“C&amp;I”) rate design structure and policy, including wires bypass and flexible pricing.  PG&amp;E proposes a number of significant changes to its current rate structure and policy addressing distribution competition that affect its large commercial and industrial customers. For instance, PG&amp;E proposes to revise the rate structure of large light and power rates by eliminating time differentiated demand and volumetric charges for distribution service.  PG&amp;E’s proposed rate structure for distribution service would reduce the company’s risk for revenue recovery and reduce customers’ incentive to shift load off peak for energy efficiency.</w:t>
      </w:r>
    </w:p>
    <w:p>
      <w:pPr>
        <w:pStyle w:val="BodyTextIndent2"/>
        <w:ind w:firstLine="720" w:start="0" w:end="0"/>
        <w:rPr>
          <w:b w:val="false"/>
        </w:rPr>
      </w:pPr>
      <w:r>
        <w:rPr>
          <w:b w:val="false"/>
        </w:rPr>
        <w:t>PG&amp;E does not limit the shifting of risk to consumers by revising rate structure alone.  For example, PG&amp;E proposes that the Commission establish a wire bypass charge to mitigate lost revenues that the company might incur from underutilized distribution facilities in the event that customers bypass PG&amp;E’s distribution system.  The company’s wire bypass proposal transforms the utility’s obligation to serve into the consumer’s obligation to take distribution service.  Consequently, a customer could not reduce its distribution charges even if it bypassed PG&amp;E’s system and provided its full power requirements through self-generation.  Similarly, PG&amp;E’s flexible pricing proposal allocates 100 percent of the risk for lost revenues associated with discounted rates to remaining ratepayers.</w:t>
      </w:r>
    </w:p>
    <w:p>
      <w:pPr>
        <w:pStyle w:val="BodyTextIndent2"/>
        <w:ind w:firstLine="720" w:start="0" w:end="0"/>
        <w:rPr/>
      </w:pPr>
      <w:r>
        <w:rPr>
          <w:b w:val="false"/>
        </w:rPr>
        <w:t>When considered individually, some of PG&amp;E’s proposed revisions to rate design might appear insignificant and even logical in light of industry restructuring.  However, ORA strongly urges the Commission to assess PG&amp;E’s proposed rate design policy in total.  PG&amp;E’s proposals to eliminate TOU differentials, impose wires bypass and offer discounted rates to selected customers will significantly reduce the company’s risk associated with distribution planning and revenue recovery of distribution investments.</w:t>
      </w:r>
      <w:r>
        <w:rPr/>
        <w:t xml:space="preserve">  </w:t>
      </w:r>
      <w:r>
        <w:rPr>
          <w:b w:val="false"/>
        </w:rPr>
        <w:t>The company’s proposed rate structure could also prejudge policy that the Commission is considering in its investigation into distributed generation (DG), and any future proceedings concerning the role of the UDC.  At the same time, PG&amp;E’s proposal provides no accountability or protection to ratepayers for the company’s distribution planning process and facility investments even though the company controls that planning process.  The Commission must not allow PG&amp;E to increase distribution costs and shift all risk for those costs to consumers simply because the company is unwillingness to accept that certain customers can shift load or have alternatives to the delivery of electricity through PG&amp;E’s wires.  Competition is supposed to increase market efficiency and lead to lower, not higher, costs for consumers.  PG&amp;E should continue to provide customers with choices, including rates differentiated by time of day.</w:t>
      </w:r>
    </w:p>
    <w:p>
      <w:pPr>
        <w:pStyle w:val="BodyTextIndent2"/>
        <w:ind w:firstLine="720" w:start="0" w:end="0"/>
        <w:rPr>
          <w:b w:val="false"/>
        </w:rPr>
      </w:pPr>
      <w:r>
        <w:rPr>
          <w:b w:val="false"/>
        </w:rPr>
        <w:t>ORA makes the following recommendations:</w:t>
      </w:r>
    </w:p>
    <w:p>
      <w:pPr>
        <w:pStyle w:val="BodyTextIndent2"/>
        <w:numPr>
          <w:ilvl w:val="0"/>
          <w:numId w:val="9"/>
        </w:numPr>
        <w:ind w:hanging="360" w:start="1080" w:end="0"/>
        <w:rPr>
          <w:b w:val="false"/>
        </w:rPr>
      </w:pPr>
      <w:r>
        <w:rPr>
          <w:b w:val="false"/>
        </w:rPr>
        <w:t>ORA recommends that the utility defines the peak period from 6:00 a.m. to 10:00 p.m., Monday through Saturday, for purposes of distribution service.</w:t>
      </w:r>
    </w:p>
    <w:p>
      <w:pPr>
        <w:pStyle w:val="BodyTextIndent2"/>
        <w:numPr>
          <w:ilvl w:val="0"/>
          <w:numId w:val="9"/>
        </w:numPr>
        <w:ind w:hanging="360" w:start="1080" w:end="0"/>
        <w:rPr>
          <w:b w:val="false"/>
        </w:rPr>
      </w:pPr>
      <w:r>
        <w:rPr>
          <w:b w:val="false"/>
        </w:rPr>
        <w:t>Large light and power rate structure should include a monthly customer charge, seasonally differentiated maximum demand charges, and seasonally differentiated peak and off-peak volumetric charges.</w:t>
      </w:r>
    </w:p>
    <w:p>
      <w:pPr>
        <w:pStyle w:val="BodyTextIndent2"/>
        <w:numPr>
          <w:ilvl w:val="0"/>
          <w:numId w:val="9"/>
        </w:numPr>
        <w:ind w:hanging="360" w:start="1080" w:end="0"/>
        <w:rPr>
          <w:b w:val="false"/>
        </w:rPr>
      </w:pPr>
      <w:r>
        <w:rPr>
          <w:b w:val="false"/>
        </w:rPr>
        <w:t>The Commission should reject PG&amp;E’s proposal to implement a wires bypass charge.</w:t>
      </w:r>
    </w:p>
    <w:p>
      <w:pPr>
        <w:pStyle w:val="BodyTextIndent2"/>
        <w:numPr>
          <w:ilvl w:val="0"/>
          <w:numId w:val="9"/>
        </w:numPr>
        <w:ind w:hanging="360" w:start="1080" w:end="0"/>
        <w:rPr>
          <w:b w:val="false"/>
        </w:rPr>
      </w:pPr>
      <w:r>
        <w:rPr>
          <w:b w:val="false"/>
        </w:rPr>
        <w:t>The Commission should limit PG&amp;E’s flexible pricing options to economic development and to compete with duplicative wires of municipal utilities and irrigation districts.</w:t>
      </w:r>
    </w:p>
    <w:p>
      <w:pPr>
        <w:pStyle w:val="BodyTextIndent2"/>
        <w:numPr>
          <w:ilvl w:val="0"/>
          <w:numId w:val="9"/>
        </w:numPr>
        <w:ind w:hanging="360" w:start="1080" w:end="0"/>
        <w:rPr>
          <w:b w:val="false"/>
        </w:rPr>
      </w:pPr>
      <w:r>
        <w:rPr>
          <w:b w:val="false"/>
        </w:rPr>
        <w:t>PG&amp;E shareholders should be responsible for lost revenues associated with discounted rates.</w:t>
      </w:r>
    </w:p>
    <w:p>
      <w:pPr>
        <w:pStyle w:val="BodyTextIndent2"/>
        <w:numPr>
          <w:ilvl w:val="0"/>
          <w:numId w:val="9"/>
        </w:numPr>
        <w:ind w:hanging="360" w:start="1080" w:end="0"/>
        <w:rPr>
          <w:b w:val="false"/>
        </w:rPr>
      </w:pPr>
      <w:r>
        <w:rPr>
          <w:b w:val="false"/>
        </w:rPr>
        <w:t>The Commission should prohibit PG&amp;E from providing discounted rates to defer customers from installing distributed generating units.</w:t>
      </w:r>
      <w:r>
        <w:br w:type="page"/>
      </w:r>
    </w:p>
    <w:p>
      <w:pPr>
        <w:pStyle w:val="BodyTextIndent2"/>
        <w:ind w:hanging="0" w:start="0" w:end="0"/>
        <w:rPr/>
      </w:pPr>
      <w:r>
        <w:rPr/>
        <w:t>6.2</w:t>
        <w:tab/>
      </w:r>
      <w:r>
        <w:rPr>
          <w:u w:val="single"/>
        </w:rPr>
        <w:t>Large Light and Power Rate Design</w:t>
      </w:r>
    </w:p>
    <w:p>
      <w:pPr>
        <w:pStyle w:val="BodyTextIndent2"/>
        <w:ind w:hanging="0" w:start="0" w:end="0"/>
        <w:rPr>
          <w:b w:val="false"/>
        </w:rPr>
      </w:pPr>
      <w:r>
        <w:rPr>
          <w:b w:val="false"/>
        </w:rPr>
        <w:t>6.2.1</w:t>
        <w:tab/>
      </w:r>
      <w:r>
        <w:rPr>
          <w:b w:val="false"/>
          <w:u w:val="single"/>
        </w:rPr>
        <w:t>PG&amp;E’s Current Large Light and Power Rate Structure</w:t>
      </w:r>
    </w:p>
    <w:p>
      <w:pPr>
        <w:pStyle w:val="BodyTextIndent2"/>
        <w:ind w:firstLine="720" w:start="0" w:end="0"/>
        <w:rPr>
          <w:b w:val="false"/>
        </w:rPr>
      </w:pPr>
      <w:r>
        <w:rPr>
          <w:b w:val="false"/>
        </w:rPr>
        <w:t xml:space="preserve">PG&amp;E’s current large light and power customers include commercial and industrial accounts with loads above 499 kW.  PG&amp;E’s large customer class currently includes rate schedules E-19, E-20, E-27, E-37, and A-RTP.  Schedule E-19 applies to customers with maximum electric loads greater than 499 kW, but less than 1,000 kW.  Schedule E-20 applies to customers with loads equal to or greater than 1,000 kW.  Both E-19 and E-20 recover distribution revenue through customer, demand and energy (volumetric) charges.  The customer charge is a flat monthly fee.  These schedules have three demand charges: A maximum demand charge applies each month to the customers’ non-coincident peak; a maximum peak period demand charge applies to the customers’ monthly coincident peak during the summer months; a seasonal maximum partial-peak demand charge applies each month to the customers’ coincident peak.  E-19 and E-20 volumetric charges are differentiated by seasonal and time-of-day.  PG&amp;E provides service at secondary, primary and transmission voltage levels.  PG&amp;E reflects the cost differential between each voltage service level in current customer, demand charges and energy charges. </w:t>
      </w:r>
    </w:p>
    <w:p>
      <w:pPr>
        <w:pStyle w:val="BodyTextIndent2"/>
        <w:ind w:firstLine="720" w:start="0" w:end="0"/>
        <w:rPr>
          <w:b w:val="false"/>
        </w:rPr>
      </w:pPr>
      <w:r>
        <w:rPr>
          <w:b w:val="false"/>
        </w:rPr>
        <w:t>Schedule E-25 is a voluntary TOU rate for sewer and water districts with maximum loads greater than 499 kW, while schedule E-37 is a voluntary TOU rate for medium and large oil pumping accounts.  The primary difference between the current E-19 and E-20 schedules and the voluntary E-27 schedule is the peak, partial-peak and off-peak definitions.  Schedule E-25 has a four-hour peak period, while the E-19 and E-20 schedules have a six-hour peak period.  Schedule E-37 recovers distribution revenue through customer, meter and demand charges, but no volumetric charges.  The schedule E-37 demand charges include seasonally differentiated maximum demand charges that apply to the customers’ monthly non-coincident peak, and a maximum peak period demand charge applies to the customers’ monthly coincident peak during the summer months.</w:t>
      </w:r>
    </w:p>
    <w:p>
      <w:pPr>
        <w:pStyle w:val="BodyTextIndent2"/>
        <w:ind w:firstLine="720" w:start="0" w:end="0"/>
        <w:rPr>
          <w:b w:val="false"/>
        </w:rPr>
      </w:pPr>
      <w:r>
        <w:rPr>
          <w:b w:val="false"/>
        </w:rPr>
      </w:r>
    </w:p>
    <w:p>
      <w:pPr>
        <w:pStyle w:val="BodyTextIndent2"/>
        <w:ind w:firstLine="720" w:start="0" w:end="0"/>
        <w:rPr>
          <w:b w:val="false"/>
        </w:rPr>
      </w:pPr>
      <w:r>
        <w:rPr>
          <w:b w:val="false"/>
        </w:rPr>
      </w:r>
    </w:p>
    <w:p>
      <w:pPr>
        <w:pStyle w:val="BodyTextIndent2"/>
        <w:ind w:hanging="0" w:start="0" w:end="0"/>
        <w:rPr>
          <w:b w:val="false"/>
        </w:rPr>
      </w:pPr>
      <w:r>
        <w:rPr>
          <w:b w:val="false"/>
        </w:rPr>
        <w:t>6.2.2</w:t>
        <w:tab/>
      </w:r>
      <w:r>
        <w:rPr>
          <w:b w:val="false"/>
          <w:u w:val="single"/>
        </w:rPr>
        <w:t>PG&amp;E’s Proposed Large Light and Power Rate Structure</w:t>
      </w:r>
    </w:p>
    <w:p>
      <w:pPr>
        <w:pStyle w:val="BodyTextIndent2"/>
        <w:ind w:firstLine="720" w:start="0" w:end="0"/>
        <w:rPr/>
      </w:pPr>
      <w:r>
        <w:rPr>
          <w:b w:val="false"/>
        </w:rPr>
        <w:t xml:space="preserve"> </w:t>
      </w:r>
      <w:r>
        <w:rPr>
          <w:b w:val="false"/>
        </w:rPr>
        <w:t>PG&amp;E proposes to consolidate current Schedules E-19, E-20, E-25, E-37, and A-RTP into two new restructured E-19 and E-20 schedules.  PG&amp;E’s revised rate structures for Schedules E-19 and E-20 would eliminate time-of-day and seasonally differentiated volumetric and demand charges.  PG&amp;E proposes to collect distribution revenues entirely through a customer charge and seasonally differentiated maximum demand charges.  Under PG&amp;E’s proposed rate structure for customers above 499 kW loads, it is not necessary to retain the E-25 and E-37 options because PG&amp;E recommends eliminating rate components based on time of usage.  PG&amp;E asserts that there is no direct link between distribution service cost incurrence and time-of-use, and therefore, time differentiated demand and volumetric charges are not appropriate for revenue recovery.</w:t>
      </w:r>
      <w:r>
        <w:rPr>
          <w:rStyle w:val="FootnoteCharacters"/>
          <w:rStyle w:val="FootnoteReference"/>
          <w:b/>
        </w:rPr>
        <w:footnoteReference w:id="44"/>
      </w:r>
      <w:r>
        <w:rPr>
          <w:b w:val="false"/>
        </w:rPr>
        <w:t xml:space="preserve"> It is difficult to ascertain exactly the billing impacts to E-25 and E-37 because of changes in rate structure of E-19 and E-20.  According to PG&amp;E, its revised rate structure does not result in unreasonable rate impacts.  </w:t>
      </w:r>
    </w:p>
    <w:p>
      <w:pPr>
        <w:pStyle w:val="BodyTextIndent2"/>
        <w:ind w:firstLine="720" w:start="0" w:end="0"/>
        <w:rPr>
          <w:b w:val="false"/>
        </w:rPr>
      </w:pPr>
      <w:r>
        <w:rPr>
          <w:b w:val="false"/>
        </w:rPr>
        <w:t xml:space="preserve">PG&amp;E also proposes to eliminate the voluntary schedule A-RTP.  Although participation in real time pricing has nearly doubled since 1997, the objective of RTP was to respond to market generation and energy prices.  Now that PG&amp;E is no longer responsible for generation planning and operations, ORA agrees that it is inappropriate to continue the RTP option, at least for distribution level customers.  </w:t>
      </w:r>
    </w:p>
    <w:p>
      <w:pPr>
        <w:pStyle w:val="Header"/>
        <w:tabs>
          <w:tab w:val="clear" w:pos="4320"/>
          <w:tab w:val="clear" w:pos="8640"/>
        </w:tabs>
        <w:spacing w:lineRule="auto" w:line="360"/>
        <w:rPr/>
      </w:pPr>
      <w:r>
        <w:rPr/>
        <w:t>6.2.3</w:t>
        <w:tab/>
      </w:r>
      <w:r>
        <w:rPr>
          <w:u w:val="single"/>
        </w:rPr>
        <w:t>ORA’s proposed Rate Structure</w:t>
      </w:r>
    </w:p>
    <w:p>
      <w:pPr>
        <w:pStyle w:val="Normal"/>
        <w:spacing w:lineRule="auto" w:line="360"/>
        <w:ind w:firstLine="720" w:end="0"/>
        <w:rPr/>
      </w:pPr>
      <w:r>
        <w:rPr/>
        <w:t>PG&amp;E’s proposal for rate design structure raises serious concern for ORA. PG&amp;E’s large light and power rate proposal would recover costs through a demand charge based on a customer’s maximum metered demand, and a fixed customer charge.  PG&amp;E’s proposal is a significant departure from current rate structure.  PG&amp;E designed seasonally differentiated demand charges, but provides no incentive for customers to shift usage away from hours of high distribution congestion that could help PG&amp;E control growth-related investments in distribution plant.  In practical terms, PG&amp;E’s rate structure recovers revenue through fixed charges because the company will bill demand at customers’ highest 15-minute recorded demand in the billing cycle.   Such a rate structure will nearly guarantee that PG&amp;E recovers the full revenue requirement allocated to this class with no offsetting adjustment in the company’s rate of return that reflects the reduction in risk.  The consequence of PG&amp;E’s rate structure based upon fixed charges will shift the risk of revenue recovery from the utility to the utility’s customers.  Shifting the risk of revenue recovery to the consumer is poor public policy because the utility’s management retains discretion and control of its operational and maintenance costs and capital investments.</w:t>
      </w:r>
    </w:p>
    <w:p>
      <w:pPr>
        <w:pStyle w:val="Normal"/>
        <w:spacing w:lineRule="auto" w:line="360"/>
        <w:ind w:firstLine="720" w:end="0"/>
        <w:rPr/>
      </w:pPr>
      <w:r>
        <w:rPr/>
        <w:t>While PG&amp;E’s proposal may have little affect on high load factor customers, it will adversely affect low load factor customers and customers that are able to shift energy consumption away from peak periods.  For example, municipal and private water utilities in California have electric demand profiles that are atypical of most other large commercial industrial customers, because water utilities are able to perform significant water pumping during off-peak hours.  (ORA specifically discussed rate impacts of PG&amp;E’s rate structure with the East Bay Municipal Water District (“EBMUD”).  PG&amp;E’s proposal would substantially increase the cost of providing distribution service to EBMUD and other water utilities.  ORA notes that PG&amp;E’s proposal will also increase water service rates because water utilities would pass on any increases in their electric distribution service costs directly to water ratepayers.</w:t>
      </w:r>
    </w:p>
    <w:p>
      <w:pPr>
        <w:pStyle w:val="BodyTextIndent"/>
        <w:spacing w:before="0" w:after="0"/>
        <w:rPr/>
      </w:pPr>
      <w:r>
        <w:rPr/>
        <w:t xml:space="preserve">ORA agrees that current distribution charges more closely relate to generation costing periods than distribution costing periods.  PG&amp;E’s current rate structure was carried over from bundled rates that included generation and transmission demand related costs as well as distribution demand related costs.   For instance, the company’s current rate structure includes two types of demand charges.  First, time differentiated demand charges reflect coincident peaks that apply in summer on peak and partial-peak periods and a winter partial-peak period.  Second, maximum demand charges reflect non-coincident peaks that apply in every month of the year because the utility incurs the costs all year.  An electric utility’s coincident demand primarily influence generation and transmission capacity investments, while its non-coincident peaks influence distribution capacity investments. </w:t>
      </w:r>
    </w:p>
    <w:p>
      <w:pPr>
        <w:pStyle w:val="Normal"/>
        <w:spacing w:lineRule="auto" w:line="360"/>
        <w:ind w:firstLine="720" w:end="0"/>
        <w:rPr/>
      </w:pPr>
      <w:r>
        <w:rPr/>
        <w:t xml:space="preserve">A distribution utility sizes and configures the distribution system to meet local peak loads that can be quite diverse with respect to the time of system coincident peak.  The maximum demand of individual consumers, different areas, and different customer classes do not peak simultaneously.  Distribution area peak loads spread-out over different times of day.  The distribution system peak does not generally coincide with the generation and transmission system peak.  In addition, a customer’s maximum demand is generally less than their connected load since consumers do not necessarily operate 100 percent of their connected electric load at the same time.  The advantage of diversity is that the UDC does not need to design a distribution circuit to handle the total connected load.  While ORA recommends modification and simpler costing periods, it is not appropriate to entirely eliminate volumetric-related distribution charges.  </w:t>
      </w:r>
    </w:p>
    <w:p>
      <w:pPr>
        <w:pStyle w:val="Normal"/>
        <w:spacing w:lineRule="auto" w:line="360"/>
        <w:ind w:firstLine="720" w:end="0"/>
        <w:rPr/>
      </w:pPr>
      <w:r>
        <w:rPr/>
        <w:t>ORA does recognize however that PG&amp;E’s current time-of-use definitions are predominantly based on generation system costs, not distribution system costs.  ORA recommends the Commission adopts time-of-use definitions that more appropriately represent distribution system cost causation.  ORA recommends that the Commission define peak hours from 6:00 a.m. to 10:00 p.m. Monday through Saturday, and define off-peak hours to be all other hours.  System-wide, there is a significant amount of diversity in distribution peaks from circuit to circuit, even within customer classes.  Defining peak hours between from 6:00 a.m. to 10 p.m. should cover most, if not all, hours that any particular distribution planning area will peak.  Establishing a 16-hour daily peak period will also provide ESPs, aggregators, or the default provider with the ability to provide a number of generation options that do not conflict with distribution pricing.  Conversely, the 10:00 p.m. to 6:00 a.m. period and all day Sunday is appropriate for off-peak because it is unlikely that many, if any, distribution planning areas within PG&amp;E’s service area will peak during these hours.</w:t>
      </w:r>
    </w:p>
    <w:p>
      <w:pPr>
        <w:pStyle w:val="Normal"/>
        <w:spacing w:lineRule="auto" w:line="360"/>
        <w:ind w:firstLine="720" w:end="0"/>
        <w:rPr/>
      </w:pPr>
      <w:r>
        <w:rPr/>
        <w:t>ORA recommends a rate structure that includes a customer charge that applies to all months, a maximum demand charge that applies to all months, and seasonal peak and off-peak volumetric charges.  ORA agrees with PG&amp;E’s approach to designing customer charges.  That is, ORA calculated E-19 and E-20 customer charges to recover the full EPMC scaled marginal customer cost by voltage level for primary and secondary customers.  Customer charges recover 100 percent of the distribution revenue allocated to customers taking service at transmission voltage.  ORA developed its proposed maximum demand charges based on the percent of revenue collected through current maximum demand charges.  Based on revenues at present rates, PG&amp;E currently collect about 20 percent of E-19 and E-20 distribution revenues through maximum demand charges.  ORA designed volumetric charges to recover the residual distribution revenue not recovered by customer or maximum demand charges.  ORA developed peak period volumetric charges based on the amount of energy revenue collected in current summer peak and partial-peak periods, plus the amount of coincident demand revenue collected in current summer peak period.  The current summer peak and partial peak period hours are similar to ORA’s proposed 6:00 a.m. to 10:00 p.m. peak definition.  Therefore, the revenue that PG&amp;E would collect through those current time-of-use hours is a reasonable proxy for the revenue that the company could expect to collect in ORA’s proposed peak period.  PG&amp;E currently recovers about 70 percent of energy and coincident demand revenue during the summer peak and partial-peak periods.  ORA designed its seasonal volumetric charges to recover 70 percent of residual distribution revenue in the peak period and to recover 30 percent of the distribution revenue during the off-peak period.  Tables 6-1 and 6-2 present ORA’s proposed E-19 and E-20 rates, respectively.</w:t>
      </w:r>
    </w:p>
    <w:p>
      <w:pPr>
        <w:pStyle w:val="Heading1"/>
        <w:ind w:start="0" w:end="0"/>
        <w:jc w:val="both"/>
        <w:rPr>
          <w:b w:val="false"/>
        </w:rPr>
      </w:pPr>
      <w:r>
        <w:rPr>
          <w:b w:val="false"/>
        </w:rPr>
        <w:t>6.2.4</w:t>
        <w:tab/>
      </w:r>
      <w:r>
        <w:rPr>
          <w:b w:val="false"/>
          <w:u w:val="single"/>
        </w:rPr>
        <w:t>Rate Limiters</w:t>
      </w:r>
    </w:p>
    <w:p>
      <w:pPr>
        <w:pStyle w:val="Heading3"/>
        <w:widowControl/>
        <w:spacing w:lineRule="auto" w:line="360"/>
        <w:ind w:firstLine="720" w:start="0" w:end="0"/>
        <w:rPr>
          <w:rFonts w:ascii="Times New Roman" w:hAnsi="Times New Roman" w:cs="Times New Roman"/>
          <w:b w:val="false"/>
        </w:rPr>
      </w:pPr>
      <w:r>
        <w:rPr>
          <w:rFonts w:cs="Times New Roman" w:ascii="Times New Roman" w:hAnsi="Times New Roman"/>
          <w:b w:val="false"/>
        </w:rPr>
        <w:t>PG&amp;E proposes to eliminate rate limiters applied to Schedules E-19 and E-20.  ORA does not object to PG&amp;E’s proposal.</w:t>
      </w:r>
    </w:p>
    <w:p>
      <w:pPr>
        <w:pStyle w:val="Normal"/>
        <w:spacing w:lineRule="auto" w:line="360"/>
        <w:rPr/>
      </w:pPr>
      <w:r>
        <w:rPr/>
        <w:t>6.2.5</w:t>
        <w:tab/>
      </w:r>
      <w:r>
        <w:rPr>
          <w:u w:val="single"/>
        </w:rPr>
        <w:t>Non-Firm Program</w:t>
      </w:r>
    </w:p>
    <w:p>
      <w:pPr>
        <w:pStyle w:val="Normal"/>
        <w:spacing w:lineRule="auto" w:line="360"/>
        <w:rPr/>
      </w:pPr>
      <w:r>
        <w:rPr/>
        <w:tab/>
        <w:t>PG&amp;E offers optional interruptible and curtailment (non-firm) service to E-19 and E-20 customers.  (Non-firm service is not available to customers taking service under Schedule E-19 on a voluntary basis.)  The Commission adopted non-firm discounts to provide demand-side management and emergency generation system capacity during hours when operating reserves become limited and to avoid loss of load.  PG&amp;E’s current non-firm rate discount provides an incentive of $84 per kW per year for curtailable service and an additional $0.00091 per kWh for interruptible service.  Pursuant to Public Utility (“PU”) Code Section 743.1, current incentives are frozen until March 31, 2002.</w:t>
      </w:r>
    </w:p>
    <w:p>
      <w:pPr>
        <w:pStyle w:val="Normal"/>
        <w:spacing w:lineRule="auto" w:line="360"/>
        <w:ind w:firstLine="720" w:end="0"/>
        <w:rPr/>
      </w:pPr>
      <w:r>
        <w:rPr/>
        <w:t>PG&amp;E proposes to terminate the current non-firm program and incentives in post-freeze rates.  Since PG&amp;E would no longer be responsible for generation planning and reliability functions, the company should no longer provide non-firm discounts designed to provide generation system capacity and emergency load relief incentives.  In fact, the Commission transferred responsibility for determining the initiation of a curtailment to the ISO by adopting PG&amp;E’s Advice Letter 1711-E on March 31, 1998.  ORA agrees that it is more appropriate for the ISO or other market institutions to develop methods and incentives that will compensate customers for providing load relief by electing non-firm service.</w:t>
      </w:r>
    </w:p>
    <w:p>
      <w:pPr>
        <w:pStyle w:val="Normal"/>
        <w:spacing w:lineRule="auto" w:line="360"/>
        <w:ind w:firstLine="720" w:end="0"/>
        <w:rPr/>
      </w:pPr>
      <w:r>
        <w:rPr/>
        <w:t>PU Code 743.1 requires utilities to offer non-firm service until March 31, 2002.  In the event that PG&amp;E’s rate freeze ends before March 31, 2002, the company must continue to recover the lost revenues associated with providing non-firm discounts for any period of time between the end of the rate freeze and March 31, 2002.  In order to continue the current non-firm incentives for any period of time between the end of the rate freeze and March 31, 2002, PG&amp;E proposes to provide non-firm discounts to customers through a discount to the competitive transition charge (“CTC”) portion of their E-19 or E-20 charges.  This discount would be an amount equal to the difference between current E-19 and E-20 firm and non-firm rates.  PG&amp;E would discontinue this discount after March 31, 2002.  This issue was partially litigated in the post transition electric ratemaking (“PTER”) proceeding.  In the PTER proceeding, PG&amp;E proposed to include any non-firm discounts in the on-going CTC component of customers’ bills.  ORA and TURN objected to PG&amp;E’s proposal, arguing that Public Utilities Codes Section 367 did not identify non-firm discounts as recoverable on-going transition costs and it would misrepresent the costs in the CTC component.  Although ORA recognized that non-firm discounts are properly related to the generation function, ORA recommended that utilities recover these costs in distribution rates for convenience.  In the PTER decision, the Commission agreed with ORA and TURN that it is improper, unlawful and misrepresents competitive transition costs to include non-firm discounts in CTC.  (See D.00-06-034, Id at p. 67.)  The Commission required the utilities to recover non-firm discounts through distribution rates since these costs are relatively short-lived.</w:t>
      </w:r>
      <w:r>
        <w:rPr>
          <w:rStyle w:val="FootnoteCharacters"/>
          <w:rStyle w:val="FootnoteReference"/>
        </w:rPr>
        <w:footnoteReference w:id="45"/>
      </w:r>
      <w:r>
        <w:rPr/>
        <w:t xml:space="preserve"> ORA is less concerned by PG&amp;E’s proposal to provide non-firm discounts to participants through CTC rates then it was by PG&amp;E’s proposal to collect those costs from non-participants CTC rates as litigated in the PTER proceeding.  ORA is concerned, however, that providing the discount through CTC rates may violate the meaning of D.00-06-034.  ORA requests that the Commission clarify the meaning of D.00-06-034. </w:t>
      </w:r>
    </w:p>
    <w:p>
      <w:pPr>
        <w:pStyle w:val="Heading3"/>
        <w:spacing w:lineRule="auto" w:line="360"/>
        <w:ind w:hanging="0" w:start="0"/>
        <w:rPr>
          <w:rFonts w:ascii="Times New Roman" w:hAnsi="Times New Roman" w:cs="Times New Roman"/>
          <w:b w:val="false"/>
        </w:rPr>
      </w:pPr>
      <w:r>
        <w:rPr>
          <w:rFonts w:cs="Times New Roman" w:ascii="Times New Roman" w:hAnsi="Times New Roman"/>
          <w:b w:val="false"/>
        </w:rPr>
        <w:t>6.2.6</w:t>
        <w:tab/>
      </w:r>
      <w:r>
        <w:rPr>
          <w:rFonts w:cs="Times New Roman" w:ascii="Times New Roman" w:hAnsi="Times New Roman"/>
          <w:b w:val="false"/>
          <w:u w:val="single"/>
        </w:rPr>
        <w:t>Standby Charges</w:t>
      </w:r>
    </w:p>
    <w:p>
      <w:pPr>
        <w:pStyle w:val="BodyTextIndent"/>
        <w:spacing w:before="0" w:after="0"/>
        <w:rPr/>
      </w:pPr>
      <w:r>
        <w:rPr/>
        <w:t>PG&amp;E provides standby service under Schedule S to approximately 300 customers.  PG&amp;E assumes that it will need to reserve an amount of distribution capacity equal to about 38 percent of total load served under standby contracts.  Using statistical methods, PG&amp;E evaluates reservation capacity requirements as a decreasing function of the number of standby customers under contract in a given geographical area.  This reflects an assumption that PG&amp;E will need to reserve smaller fractions of the total capacity under standby contracts as the company serves a larger number of standby loads within a geographical area.  PG&amp;E analyses a recorded database of all standby loads and standby power requirements.  PG&amp;E’s standby rates include a monthly reservation charge equal to 85 percent of the standby customer’s contract reservation load.  PG&amp;E’s standby customers also pay time differentiated seasonal energy ($/kWh) charges for distribution based on the actual back-up power purchased.  According to PG&amp;E, most of its current standby customers take service at transmission service voltage.  ORA would expect a significant increase in standby customers taking service at distribution service voltages in the event that a significant market for distributed resources materialized.</w:t>
      </w:r>
    </w:p>
    <w:p>
      <w:pPr>
        <w:pStyle w:val="BodyTextIndent"/>
        <w:spacing w:before="0" w:after="0"/>
        <w:rPr/>
      </w:pPr>
      <w:r>
        <w:rPr/>
        <w:t xml:space="preserve">Proponents of distributed resource often cite standby charges as a barrier to entry.  DG proponents assert that standby reservation charges offset any economic gain from installing distributed resources.  However, PG&amp;E must include the load of self-generation in their T&amp;D planning process as long as the standby customer requires firm standby service.  Standby charges, especially reservation charges, can be a barrier to an economically viable DG market if those charges are unreasonable.  Standby charges that are based on costs avoid cost shifting and reflect the service that the UDC actually renders are not unreasonable.  Standby charges are appropriate in a competitive distributed generation market as long as the DG owner expects firm backup service for the load normally served through self-generated.  It is also worth noting that standby reservation charges include other components besides distribution (e.g. transmission and RMR) that jurisdictions other than the CPUC determine.  </w:t>
      </w:r>
    </w:p>
    <w:p>
      <w:pPr>
        <w:pStyle w:val="BodyTextIndent"/>
        <w:spacing w:before="0" w:after="0"/>
        <w:rPr/>
      </w:pPr>
      <w:r>
        <w:rPr/>
        <w:t>PG&amp;E includes standby loads when evaluating distribution system requirements because the company assumes that DG or other self-generation units are not operating and unavailable during the peak hour.  UDCs consider this practice necessary for reliability purposes since there is some probability that a DG unit will be out of service at the time of a distribution circuit’s peak.  Because the UDC must invest in distribution facilities to cover the maximum demand and a standby customer may require firm service during the peak hours, the standby customer is obligated to pay for the provision of that standby distribution capacity.  PG&amp;E does consider the diversity of standby loads when calculating the reservation charge for standby rates.  However, PG&amp;E does not appear to assume any diversity of standby loads for purposes of forecasting peak distribution loads.  ORA notes that the Commission is currently considering standby ratemaking policy in its OIR into distributed generation (I.99-10-025).  ORA and other parties have provided testimony concerning standby rates in Phase II of the Commission’s OIR.  ORA will not repeat and does not intend to relitigate in the instant proceeding the position on standby rates that it articulated in the OIR.</w:t>
      </w:r>
    </w:p>
    <w:p>
      <w:pPr>
        <w:pStyle w:val="BodyTextIndent"/>
        <w:spacing w:before="0" w:after="0"/>
        <w:ind w:hanging="0" w:end="0"/>
        <w:rPr/>
      </w:pPr>
      <w:r>
        <w:rPr/>
        <w:t>6.2.7</w:t>
        <w:tab/>
      </w:r>
      <w:r>
        <w:rPr>
          <w:u w:val="single"/>
        </w:rPr>
        <w:t>Ongoing CTC Rates</w:t>
      </w:r>
    </w:p>
    <w:p>
      <w:pPr>
        <w:pStyle w:val="BodyTextIndent"/>
        <w:spacing w:before="0" w:after="0"/>
        <w:rPr/>
      </w:pPr>
      <w:r>
        <w:rPr/>
        <w:t xml:space="preserve">ORA recommends adjusting the ongoing competitive transition cost (CTC) rate seasonally.  The summer of 2000 demonstrated the volatility of energy rates.  The higher the power exchange (PX) rates the lower the ongoing CTC rates.  Utilities could therefore use ongoing CTC to somewhat hedge fluctuating market prices if they adjusted the rate seasonally.  Currently, the ongoing CTC rate is uniform in each month.  The ongoing CTC rate should go down as the PX price rises.  Seasonal rate design could appropriately mitigate price spikes.  </w:t>
      </w:r>
      <w:r>
        <w:br w:type="page"/>
      </w:r>
    </w:p>
    <w:p>
      <w:pPr>
        <w:pStyle w:val="BodyTextIndent"/>
        <w:spacing w:before="0" w:after="0"/>
        <w:ind w:hanging="0" w:end="0"/>
        <w:rPr>
          <w:b/>
        </w:rPr>
      </w:pPr>
      <w:r>
        <w:rPr>
          <w:b/>
        </w:rPr>
        <w:t>6.3</w:t>
        <w:tab/>
      </w:r>
      <w:r>
        <w:rPr>
          <w:b/>
          <w:u w:val="single"/>
        </w:rPr>
        <w:t>Wire By-Pass Charges and Flexible Pricing</w:t>
      </w:r>
    </w:p>
    <w:p>
      <w:pPr>
        <w:pStyle w:val="Normal"/>
        <w:spacing w:lineRule="auto" w:line="360"/>
        <w:rPr/>
      </w:pPr>
      <w:r>
        <w:rPr/>
        <w:t>6.3.1</w:t>
        <w:tab/>
      </w:r>
      <w:r>
        <w:rPr>
          <w:u w:val="single"/>
        </w:rPr>
        <w:t>Wires Bypass</w:t>
      </w:r>
    </w:p>
    <w:p>
      <w:pPr>
        <w:pStyle w:val="BodyTextIndent"/>
        <w:spacing w:before="0" w:after="0"/>
        <w:rPr/>
      </w:pPr>
      <w:r>
        <w:rPr/>
        <w:t xml:space="preserve">According to PG&amp;E, the company has observed activities over the past several years by entities outside of the Commission’s jurisdiction that are offering distribution service to PG&amp;E customers with attractive load characteristics.  PG&amp;E asserts that it has been put at risk from significant competitive pressure from duplicative wire services primarily from irrigation districts and municipal utilities.  PG&amp;E’s testimony provides several examples of actions by non-CPUC jurisdictional competitors to attract selected customers from PG&amp;E’s low cost distribution areas.  PG&amp;E also asserts that these non CPUC jurisdictional competitors are able to operate under a different set of pricing rules, taxation framework, and service obligation that puts PG&amp;E at an asymmetrical competitive disadvantage. </w:t>
      </w:r>
    </w:p>
    <w:p>
      <w:pPr>
        <w:pStyle w:val="Normal"/>
        <w:spacing w:lineRule="auto" w:line="360"/>
        <w:ind w:firstLine="720" w:end="0"/>
        <w:rPr/>
      </w:pPr>
      <w:r>
        <w:rPr/>
        <w:t xml:space="preserve">PG&amp;E proposes that the Commission establish a wire bypass charge (exit fees) to mitigate lost revenues that the company might incur from underutilized distribution facilities in the event that customers bypass PG&amp;E’s distribution system.  PG&amp;E would impose the wires bypass charge to any energy consumer that resides within its service area with a load over 20 kW, but does not elect to purchase PG&amp;E’s distribution service.   PG&amp;E’s proposal would include charging wires bypass to customers that depart PG&amp;E’s system to self generate and who do not take PG&amp;E’s standby service.  PG&amp;E does not explain how it proposes to enforce the collection of exit fees from customers that are no longer connected to its system.  PG&amp;E recommends that the exit fees remain in place as long as the asserted asymmetry associated with the provision of distribution service exists. </w:t>
      </w:r>
    </w:p>
    <w:p>
      <w:pPr>
        <w:pStyle w:val="BodyTextIndent"/>
        <w:spacing w:before="0" w:after="0"/>
        <w:rPr/>
      </w:pPr>
      <w:r>
        <w:rPr/>
        <w:t xml:space="preserve">ORA opposes any wires bypass charge because these fees are anti-competitive.  Exit fees change the PG&amp;E’s obligation to service customers into a customer’s obligation to accept service.  In addition, ORA supports the development of a competitive distributed generation (DG) market.  Exit fees would impose a barrier to the development of a DG market.  The Commission is also considering the issue of wires bypass in its investigation into distributed generation.   </w:t>
      </w:r>
    </w:p>
    <w:p>
      <w:pPr>
        <w:pStyle w:val="BodyTextIndent"/>
        <w:spacing w:before="0" w:after="0"/>
        <w:rPr/>
      </w:pPr>
      <w:r>
        <w:rPr/>
      </w:r>
    </w:p>
    <w:p>
      <w:pPr>
        <w:pStyle w:val="BodyTextIndent2"/>
        <w:ind w:hanging="0" w:start="0" w:end="0"/>
        <w:rPr>
          <w:b w:val="false"/>
        </w:rPr>
      </w:pPr>
      <w:r>
        <w:rPr>
          <w:b w:val="false"/>
        </w:rPr>
        <w:t>6.3.2</w:t>
        <w:tab/>
      </w:r>
      <w:r>
        <w:rPr>
          <w:b w:val="false"/>
          <w:u w:val="single"/>
        </w:rPr>
        <w:t>Flexible Pricing</w:t>
      </w:r>
    </w:p>
    <w:p>
      <w:pPr>
        <w:pStyle w:val="Normal"/>
        <w:spacing w:lineRule="auto" w:line="360"/>
        <w:ind w:firstLine="720" w:end="0"/>
        <w:rPr/>
      </w:pPr>
      <w:r>
        <w:rPr/>
        <w:t>Failing Commission approval of a wires bypass charge, PG&amp;E proposes a second alternative.  PG&amp;E’s second alternative includes the provision of flexible pricing.  PG&amp;E proposes to introduce Schedule E-30.  Schedule E-30 would provide the company with the ability to quickly respond with competitive counter-offers to avoid imminent uneconomic bypass of its distribution system by customers in possession of bona fide service offers from competing distribution providers.  Schedule E-30 is intended to provide PG&amp;E with pricing flexibility to retain its large customers that non-CPUC jurisdictional competitors are targeting, and to attract new customers or customers that previously departed PG&amp;E’s service.  PG&amp;E currently has authority to offer rate discounts through flexible pricing tariffs.  PG&amp;E primarily use flexible pricing to defer self-generation and for economic development.</w:t>
      </w:r>
    </w:p>
    <w:p>
      <w:pPr>
        <w:pStyle w:val="Normal"/>
        <w:spacing w:lineRule="auto" w:line="360"/>
        <w:ind w:firstLine="720" w:end="0"/>
        <w:rPr/>
      </w:pPr>
      <w:r>
        <w:rPr/>
        <w:t xml:space="preserve">Whenever a utility offers a rate discount, it results in lost revenue recovery to the utility.  PG&amp;E proposes to allocate lost revenues associated with discount rates directly to customers with loads greater than 20 kW.  ORA recommends PG&amp;E that shareholders, not ratepayers, should bear the additional risk of any lost revenue.  In that way, PG&amp;E will provide discounts only to customers that it is confident have a viable and economic alternative to PG&amp;E’s delivery service.  If a utility has performance based rates (PBR), any lost revenues from discounted rates should be an integral part of their PBR mechanism.  </w:t>
      </w:r>
    </w:p>
    <w:p>
      <w:pPr>
        <w:pStyle w:val="Normal"/>
        <w:spacing w:lineRule="auto" w:line="360"/>
        <w:ind w:firstLine="720" w:end="0"/>
        <w:rPr/>
      </w:pPr>
      <w:r>
        <w:rPr/>
        <w:t xml:space="preserve">ORA supports development of a viable DG market and removing barriers to DG to the extent possible.  Because PG&amp;E can use discount rates as an incentive to discourage customers from self-generating, the company could use flexible pricing as a barrier to DG development.  The Commission should not allow PG&amp;E to discount rates as a way of deferring DG in low cost areas until a sustainable DG market is established.  Otherwise, preemptive discounting could prevent the emergence of a sustainable customer-side DG market.  Once a sustainable DG market exists, PG&amp;E could then provide flexible pricing to compete with DG alternatives.   </w:t>
      </w:r>
    </w:p>
    <w:p>
      <w:pPr>
        <w:pStyle w:val="Normal"/>
        <w:spacing w:lineRule="auto" w:line="360"/>
        <w:ind w:firstLine="720" w:end="0"/>
        <w:rPr/>
      </w:pPr>
      <w:r>
        <w:rPr/>
        <w:t xml:space="preserve">However, ORA would not object to PG&amp;E discouraging the installation of DG in low cost distribution areas if the company would simultaneously encourage DG in areas where marginal distribution costs are clearly above retail rates.  If PG&amp;E could demonstrate that it reduced its distribution costs by encouraging third party DG, then the Commission could allow the company to keep some of the savings as a reward mechanism.  PG&amp;E should demonstrate net savings in distribution costs, and neither ratepayers nor shareholders should subsidize third party DG. </w:t>
      </w:r>
    </w:p>
    <w:p>
      <w:pPr>
        <w:pStyle w:val="Normal"/>
        <w:spacing w:lineRule="auto" w:line="360"/>
        <w:ind w:firstLine="720" w:end="0"/>
        <w:rPr/>
      </w:pPr>
      <w:r>
        <w:rPr/>
        <w:t>ORA recommends that the Commission restrict the UDCs’ flexible distribution pricing authority to current economic development tariffs and to compete with duplicative wires of municipal utilities and irrigation districts.  PG&amp;E should only provide a discounted rate when a customer demonstrates, by appropriate economic cost tests, that it has an alternative to PG&amp;E’s distribution service and poses a demonstrated threat of uneconomic bypass.  For purposes of distribution flexible pricing, ORA recommends that the Commission consider bypass to be uneconomic when the cost of the customer’s alternative is greater than PG&amp;E’s long-run marginal cost to provide distribution to that customer.  The Commission should establish pricing floors for discount rates at the customer’s long-run marginal cost plus a 20 percent contribution to margin.  Finally, the UDCs should publish all discount rates on their WEB site.</w:t>
      </w:r>
    </w:p>
    <w:p>
      <w:pPr>
        <w:pStyle w:val="BodyTextIndent"/>
        <w:spacing w:before="0" w:after="0"/>
        <w:ind w:hanging="0" w:end="0"/>
        <w:rPr/>
      </w:pPr>
      <w:r>
        <w:rPr>
          <w:b/>
        </w:rPr>
        <w:t>6.4</w:t>
        <w:tab/>
      </w:r>
      <w:r>
        <w:rPr>
          <w:b/>
          <w:u w:val="single"/>
        </w:rPr>
        <w:t>Recommendations</w:t>
      </w:r>
    </w:p>
    <w:p>
      <w:pPr>
        <w:pStyle w:val="BodyTextIndent"/>
        <w:spacing w:before="0" w:after="0"/>
        <w:ind w:hanging="0" w:end="0"/>
        <w:rPr/>
      </w:pPr>
      <w:r>
        <w:rPr/>
        <w:tab/>
        <w:t xml:space="preserve">For the reasons stated herein, ORA recommend that the Commission define a 6:00 a.m. to 10:00 p.m. peak period Monday through Saturday for large commercial and industrial customers.  The Commission should adopt a rate structure for large commercial and industrial customers that include a customer charge, a maximum demand charge, and seasonal peak and off-peak volumetric charges.  </w:t>
      </w:r>
    </w:p>
    <w:p>
      <w:pPr>
        <w:pStyle w:val="BodyTextIndent"/>
        <w:spacing w:before="0" w:after="0"/>
        <w:ind w:hanging="0" w:end="0"/>
        <w:rPr/>
      </w:pPr>
      <w:r>
        <w:rPr/>
        <w:tab/>
        <w:t>The Commission should reject PG&amp;E’s proposed wires bypass charge.  The Commission should limit PG&amp;E’s flexible pricing options to the company’s economic development and to compete with duplicative wires of municipal utilities and irrigation districts.  PG&amp;E shareholders should be responsible for lost revenues associated with discounted rates.  The Commission should prohibit PG&amp;E from providing discount rates to defer the installation of DG units.</w:t>
      </w:r>
      <w:r>
        <w:br w:type="page"/>
      </w:r>
    </w:p>
    <w:p>
      <w:pPr>
        <w:pStyle w:val="BodyTextIndent"/>
        <w:numPr>
          <w:ilvl w:val="0"/>
          <w:numId w:val="0"/>
        </w:numPr>
        <w:spacing w:before="0" w:after="0"/>
        <w:ind w:start="0" w:hanging="0" w:end="0"/>
        <w:rPr/>
      </w:pPr>
      <w:r>
        <w:rPr/>
        <w:object w:dxaOrig="8350" w:dyaOrig="7006">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0pt;margin-top:0pt;width:416.65pt;height:345.7pt;mso-wrap-distance-left:9.05pt;mso-wrap-distance-right:9.05pt;mso-position-horizontal-relative:text;mso-position-vertical-relative:text" filled="f" o:ole="">
            <v:imagedata r:id="rId17" o:title=""/>
            <w10:wrap type="topAndBottom"/>
          </v:shape>
          <o:OLEObject Type="Embed" ProgID="Excel.Sheet.12" ShapeID="ole_rId16" DrawAspect="Content" ObjectID="_1865918675" r:id="rId16"/>
        </w:object>
      </w:r>
      <w:r>
        <w:br w:type="page"/>
      </w:r>
    </w:p>
    <w:p>
      <w:pPr>
        <w:sectPr>
          <w:footerReference w:type="default" r:id="rId20"/>
          <w:footerReference w:type="first" r:id="rId21"/>
          <w:footnotePr>
            <w:numFmt w:val="decimal"/>
          </w:footnotePr>
          <w:type w:val="nextPage"/>
          <w:pgSz w:w="12240" w:h="15840"/>
          <w:pgMar w:left="1800" w:right="1800" w:gutter="0" w:header="0" w:top="1440" w:footer="720" w:bottom="1440"/>
          <w:lnNumType w:countBy="1" w:restart="newPage" w:distance="283"/>
          <w:pgNumType w:start="1" w:fmt="decimal"/>
          <w:formProt w:val="false"/>
          <w:textDirection w:val="lrTb"/>
          <w:docGrid w:type="default" w:linePitch="360" w:charSpace="0"/>
        </w:sectPr>
        <w:pStyle w:val="BodyTextIndent"/>
        <w:spacing w:before="0" w:after="0"/>
        <w:ind w:end="0"/>
        <w:rPr>
          <w:lang w:val="en-CA"/>
        </w:rPr>
      </w:pPr>
      <w:r>
        <w:rPr>
          <w:lang w:val="en-CA"/>
        </w:rPr>
        <w:object w:dxaOrig="8557" w:dyaOrig="738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0pt;margin-top:0pt;width:426.85pt;height:364.8pt;mso-wrap-distance-left:9.05pt;mso-wrap-distance-right:9.05pt;mso-position-horizontal-relative:text;mso-position-vertical-relative:text" filled="f" o:ole="">
            <v:imagedata r:id="rId19" o:title=""/>
            <w10:wrap type="topAndBottom"/>
          </v:shape>
          <o:OLEObject Type="Embed" ProgID="Excel.Sheet.12" ShapeID="ole_rId18" DrawAspect="Content" ObjectID="_751682995" r:id="rId18"/>
        </w:object>
      </w:r>
    </w:p>
    <w:p>
      <w:pPr>
        <w:pStyle w:val="Normal"/>
        <w:spacing w:lineRule="auto" w:line="360"/>
        <w:jc w:val="center"/>
        <w:rPr/>
      </w:pPr>
      <w:r>
        <w:rPr>
          <w:b/>
          <w:caps/>
          <w:sz w:val="28"/>
        </w:rPr>
        <w:t>Chapter</w:t>
      </w:r>
      <w:r>
        <w:rPr>
          <w:b/>
          <w:sz w:val="28"/>
        </w:rPr>
        <w:t xml:space="preserve"> 7</w:t>
      </w:r>
    </w:p>
    <w:p>
      <w:pPr>
        <w:pStyle w:val="Heading"/>
        <w:spacing w:lineRule="auto" w:line="360"/>
        <w:rPr>
          <w:b w:val="false"/>
          <w:sz w:val="28"/>
        </w:rPr>
      </w:pPr>
      <w:r>
        <w:rPr>
          <w:b w:val="false"/>
          <w:sz w:val="28"/>
        </w:rPr>
      </w:r>
    </w:p>
    <w:p>
      <w:pPr>
        <w:pStyle w:val="Subtitle"/>
        <w:rPr>
          <w:u w:val="single"/>
        </w:rPr>
      </w:pPr>
      <w:r>
        <w:rPr>
          <w:u w:val="single"/>
        </w:rPr>
        <w:t>SMALL AND MEDIUM LIGHT AND POWER</w:t>
      </w:r>
    </w:p>
    <w:p>
      <w:pPr>
        <w:pStyle w:val="Heading1"/>
        <w:jc w:val="start"/>
        <w:rPr>
          <w:b w:val="false"/>
          <w:sz w:val="28"/>
          <w:u w:val="single"/>
        </w:rPr>
      </w:pPr>
      <w:r>
        <w:rPr>
          <w:sz w:val="28"/>
          <w:u w:val="single"/>
        </w:rPr>
        <w:t>COMMERCIAL AND INDUSTRIAL RATE DESIGN</w:t>
      </w:r>
    </w:p>
    <w:p>
      <w:pPr>
        <w:pStyle w:val="Heading2"/>
        <w:spacing w:before="0" w:after="0"/>
        <w:ind w:hanging="0" w:start="0"/>
        <w:rPr/>
      </w:pPr>
      <w:r>
        <w:rPr/>
        <w:t>Witness: Louise C. Huen</w:t>
      </w:r>
    </w:p>
    <w:p>
      <w:pPr>
        <w:pStyle w:val="Normal"/>
        <w:rPr/>
      </w:pPr>
      <w:r>
        <w:rPr/>
      </w:r>
    </w:p>
    <w:p>
      <w:pPr>
        <w:pStyle w:val="Heading3"/>
        <w:spacing w:lineRule="auto" w:line="360"/>
        <w:ind w:hanging="0" w:start="0"/>
        <w:rPr>
          <w:rFonts w:ascii="Times New Roman" w:hAnsi="Times New Roman" w:cs="Times New Roman"/>
          <w:lang w:eastAsia="en-US"/>
        </w:rPr>
      </w:pPr>
      <w:r>
        <w:rPr>
          <w:rFonts w:cs="Times New Roman" w:ascii="Times New Roman" w:hAnsi="Times New Roman"/>
        </w:rPr>
        <w:t>7.1</w:t>
        <w:tab/>
      </w:r>
      <w:r>
        <w:rPr>
          <w:rFonts w:cs="Times New Roman" w:ascii="Times New Roman" w:hAnsi="Times New Roman"/>
          <w:u w:val="single"/>
        </w:rPr>
        <w:t>Introduction and Overview</w:t>
      </w:r>
    </w:p>
    <w:p>
      <w:pPr>
        <w:pStyle w:val="Heading3"/>
        <w:spacing w:lineRule="auto" w:line="360"/>
        <w:ind w:firstLine="720" w:start="0" w:end="0"/>
        <w:rPr>
          <w:rFonts w:ascii="Times New Roman" w:hAnsi="Times New Roman" w:cs="Times New Roman"/>
          <w:b w:val="false"/>
          <w:lang w:eastAsia="en-US"/>
        </w:rPr>
      </w:pPr>
      <w:r>
        <w:rPr>
          <w:rFonts w:cs="Times New Roman" w:ascii="Times New Roman" w:hAnsi="Times New Roman"/>
          <w:b w:val="false"/>
          <w:lang w:eastAsia="en-US"/>
        </w:rPr>
        <w:t xml:space="preserve">This chapter discusses PG&amp;E’s post-freeze rate design proposals for Small and Medium Light and Power (“L&amp;P”) commercial and industrial customer classes.  It focuses on PG&amp;E’s distribution rate design associated with the six unbundled rate components.  </w:t>
      </w:r>
    </w:p>
    <w:p>
      <w:pPr>
        <w:pStyle w:val="BodyTextIndent"/>
        <w:spacing w:before="0" w:after="0"/>
        <w:rPr>
          <w:lang w:eastAsia="en-US"/>
        </w:rPr>
      </w:pPr>
      <w:r>
        <w:rPr>
          <w:lang w:eastAsia="en-US"/>
        </w:rPr>
        <w:t>Two of the main issues associated with PG&amp;E’s distribution rate design is whether PG&amp;E should eliminate current time of use (“TOU”) options for the distribution component of rate design, and whether the inter-class consolidation of Small and Medium L&amp;P customer classes with the Small and Medium agricultural customer classes.  ORA recommends no change to the current tariff schedules for Small and Medium L&amp;P customer classes.</w:t>
      </w:r>
    </w:p>
    <w:p>
      <w:pPr>
        <w:pStyle w:val="BodyTextIndent"/>
        <w:spacing w:before="0" w:after="0"/>
        <w:rPr>
          <w:lang w:eastAsia="en-US"/>
        </w:rPr>
      </w:pPr>
      <w:r>
        <w:rPr>
          <w:lang w:eastAsia="en-US"/>
        </w:rPr>
        <w:t xml:space="preserve">As discussed in Section 8.3.1, ORA believes the goal of TOU distribution service rate options is to increase customer price awareness by sending customers proper price signals, and is crucial in assisting customers trying to manage their utility bills. </w:t>
      </w:r>
    </w:p>
    <w:p>
      <w:pPr>
        <w:pStyle w:val="BodyTextIndent"/>
        <w:spacing w:before="0" w:after="0"/>
        <w:rPr>
          <w:lang w:eastAsia="en-US"/>
        </w:rPr>
      </w:pPr>
      <w:r>
        <w:rPr>
          <w:lang w:eastAsia="en-US"/>
        </w:rPr>
        <w:t>ORA opposes the inter-class consolidation of Small and Medium L&amp;P customer classes with Small and Medium agricultural customer classes because it shifts costs from agriculture customers to L&amp;P customers.  Consolidation of tariff schedules reduces customer choices and contradicts the current Commission Policy of promoting competition.</w:t>
      </w:r>
    </w:p>
    <w:p>
      <w:pPr>
        <w:pStyle w:val="Normal"/>
        <w:spacing w:lineRule="auto" w:line="360"/>
        <w:rPr>
          <w:b/>
          <w:lang w:eastAsia="en-US"/>
        </w:rPr>
      </w:pPr>
      <w:r>
        <w:rPr>
          <w:b/>
          <w:lang w:eastAsia="en-US"/>
        </w:rPr>
        <w:t>7.2</w:t>
        <w:tab/>
      </w:r>
      <w:r>
        <w:rPr>
          <w:b/>
          <w:u w:val="single"/>
          <w:lang w:eastAsia="en-US"/>
        </w:rPr>
        <w:t>Small and Medium Light &amp; Power Rate Schedules</w:t>
      </w:r>
    </w:p>
    <w:p>
      <w:pPr>
        <w:pStyle w:val="BodyTextIndent"/>
        <w:spacing w:before="0" w:after="0"/>
        <w:rPr>
          <w:lang w:eastAsia="en-US"/>
        </w:rPr>
      </w:pPr>
      <w:r>
        <w:rPr>
          <w:lang w:eastAsia="en-US"/>
        </w:rPr>
        <w:t>PG&amp;E’s current Small L&amp;P customer class consists of five rate schedules.  Schedule A-1 is a non-demand metered general service tariff with flat seasonal rates open to any Small and Medium commercial account with a monthly maximum demand less than 500 kW.  Schedule A-6 is a voluntary non-demand TOU tariff open to the same group of accounts that qualify for Schedule A-1.  Schedule A-15 is a direct current general service tariff open only to those accounts receiving service on the tariff as of February 13, 1971, and is limited to certain downtown areas of San Francisco, Oakland, and Stockton where direct current is available.  Schedule TC-1 is a traffic control tariff for traffic directional signs or signal lighting systems owned by governmental agencies and located on streets, highways, and other publicly dedicated outdoor areas.  Schedule E-36 is a non-demand metered voluntary rate for smaller oil pumping accounts.</w:t>
      </w:r>
    </w:p>
    <w:p>
      <w:pPr>
        <w:pStyle w:val="Normal"/>
        <w:spacing w:lineRule="auto" w:line="360"/>
        <w:ind w:firstLine="720" w:end="0"/>
        <w:rPr>
          <w:lang w:eastAsia="en-US"/>
        </w:rPr>
      </w:pPr>
      <w:r>
        <w:rPr>
          <w:lang w:eastAsia="en-US"/>
        </w:rPr>
        <w:t>PG&amp;E’s Medium L&amp;P class consists of Schedules A-10, E-19V, and E-37.  Schedule A-10 is a demand-metered schedule with a maximum demand charge, and flat seasonal energy rates for accounts under 500 kW.  Schedule E-19V is a voluntary schedule for accounts under 500 kW electing TOU service, with three-period summer and two-period winter TOU demand and energy charges.  Schedule E-37 is a voluntary demand-metered two-period TOU rate in each season, for medium size oil pumping accounts both above and below 500 kW.</w:t>
      </w:r>
    </w:p>
    <w:p>
      <w:pPr>
        <w:pStyle w:val="Normal"/>
        <w:spacing w:lineRule="auto" w:line="360"/>
        <w:rPr>
          <w:lang w:eastAsia="en-US"/>
        </w:rPr>
      </w:pPr>
      <w:r>
        <w:rPr>
          <w:b/>
          <w:lang w:eastAsia="en-US"/>
        </w:rPr>
        <w:t>7.3</w:t>
        <w:tab/>
      </w:r>
      <w:r>
        <w:rPr>
          <w:b/>
          <w:u w:val="single"/>
          <w:lang w:eastAsia="en-US"/>
        </w:rPr>
        <w:t>Small and Medium Light &amp; Power Rate Design</w:t>
      </w:r>
    </w:p>
    <w:p>
      <w:pPr>
        <w:pStyle w:val="Normal"/>
        <w:spacing w:lineRule="auto" w:line="360"/>
        <w:ind w:firstLine="720" w:end="0"/>
        <w:rPr>
          <w:lang w:eastAsia="en-US"/>
        </w:rPr>
      </w:pPr>
      <w:r>
        <w:rPr>
          <w:lang w:eastAsia="en-US"/>
        </w:rPr>
        <w:t>PG&amp;E’s proposal for the Small L&amp;P customer class is to continue the non-demand-metered accounts with maximum demand below 500 kW, and Medium L&amp;P will continue to apply to demand-metered accounts with maximum demand below 500 kW.  PG&amp;E’s proposal is for TOU service to be voluntary for Small and Medium L&amp;P accounts.  A Voluntary Hourly Pricing Option (“HPO”) for the generation rate will continue to be available to all Small and Medium L&amp;P accounts.  In an effort to minimize administration costs, PG&amp;E proposes to eliminate Schedules E-36 and E-37.</w:t>
      </w:r>
    </w:p>
    <w:p>
      <w:pPr>
        <w:pStyle w:val="Normal"/>
        <w:spacing w:lineRule="auto" w:line="360"/>
        <w:ind w:firstLine="720" w:end="0"/>
        <w:rPr/>
      </w:pPr>
      <w:r>
        <w:rPr>
          <w:lang w:eastAsia="en-US"/>
        </w:rPr>
        <w:t>ORA recommends PG&amp;E improve the cost basis of some aspects of standard rates.  Consolidating Small agricultural schedules with Small L&amp;P schedules will shift agriculture marginal customer cost (“MCC”) of $251.05-$397.59 per customer to Small L&amp;P class’s MCC of $188.39 per customer, which would reduce the overall marginal cost rates for agricultural customers at the expense of Small L&amp;P customers.</w:t>
      </w:r>
      <w:r>
        <w:rPr>
          <w:rStyle w:val="FootnoteCharacters"/>
          <w:rStyle w:val="FootnoteReference"/>
          <w:lang w:eastAsia="en-US"/>
        </w:rPr>
        <w:footnoteReference w:customMarkFollows="1" w:id="46"/>
        <w:t>5</w:t>
      </w:r>
      <w:r>
        <w:rPr>
          <w:rStyle w:val="FootnoteCharacters"/>
          <w:lang w:eastAsia="en-US"/>
        </w:rPr>
        <w:t>0</w:t>
      </w:r>
      <w:r>
        <w:rPr>
          <w:lang w:eastAsia="en-US"/>
        </w:rPr>
        <w:t xml:space="preserve">  The subsidy from Small L&amp;P customers to Small agricultural customers will reduce distribution competition in agricultural areas, thus fewer competitors will be able to compete with PG&amp;E as PG&amp;E offers lower agricultural distribution rates that few emerging competitor can beat.</w:t>
      </w:r>
    </w:p>
    <w:p>
      <w:pPr>
        <w:pStyle w:val="Normal"/>
        <w:spacing w:lineRule="auto" w:line="360"/>
        <w:ind w:firstLine="720" w:end="0"/>
        <w:rPr>
          <w:lang w:eastAsia="en-US"/>
        </w:rPr>
      </w:pPr>
      <w:r>
        <w:rPr>
          <w:lang w:eastAsia="en-US"/>
        </w:rPr>
        <w:t>PG&amp;E should encourage Small and Medium L&amp;P customers to take advantage of the flexible TOU rate options, which should reduce their overall bills.  To mitigate the impacts on customers’ bills, PG&amp;E propose to cap customer charges in the Small and Medium L&amp;P classes and demand charges in the Medium L&amp;P class.  All other Small and Medium rate components will be set at full equal percent margin cost.</w:t>
      </w:r>
    </w:p>
    <w:p>
      <w:pPr>
        <w:pStyle w:val="Normal"/>
        <w:spacing w:lineRule="auto" w:line="360"/>
        <w:ind w:firstLine="720" w:end="0"/>
        <w:rPr>
          <w:lang w:eastAsia="en-US"/>
        </w:rPr>
      </w:pPr>
      <w:r>
        <w:rPr>
          <w:lang w:eastAsia="en-US"/>
        </w:rPr>
        <w:t>Additionally, billing calculations will convert customer and fixed monthly charges, including kW demand charges, to a daily rather than monthly basis, to simplify billing system calculations and eliminate customer confusion over prorated charges.</w:t>
      </w:r>
    </w:p>
    <w:p>
      <w:pPr>
        <w:pStyle w:val="Normal"/>
        <w:spacing w:lineRule="auto" w:line="360"/>
        <w:rPr>
          <w:lang w:eastAsia="en-US"/>
        </w:rPr>
      </w:pPr>
      <w:r>
        <w:rPr>
          <w:lang w:eastAsia="en-US"/>
        </w:rPr>
        <w:t xml:space="preserve">Due to the low revenue impacts and high administrative costs, PG&amp;E propose to eliminate power factor adjustments for Medium L&amp;P accounts.  ORA concurs with PG&amp;E’s proposal to eliminate the non-firm program because PG&amp;E is no longer responsible for generation planning and reliability function.  </w:t>
      </w:r>
    </w:p>
    <w:p>
      <w:pPr>
        <w:pStyle w:val="Normal"/>
        <w:spacing w:lineRule="auto" w:line="360"/>
        <w:ind w:firstLine="720" w:end="0"/>
        <w:rPr>
          <w:lang w:eastAsia="en-US"/>
        </w:rPr>
      </w:pPr>
      <w:r>
        <w:rPr>
          <w:lang w:eastAsia="en-US"/>
        </w:rPr>
        <w:t>Voltage discounts in the Medium L&amp;P classes are based on EPMC voltage differentials rather than the current unscaled marginal cost differentials which are based on rate gaps which provide inappropriate voltage buy-up incentives that exceed underlying differences in cost of service.  ORA concurs with PG&amp;E’s proposal.</w:t>
      </w:r>
    </w:p>
    <w:p>
      <w:pPr>
        <w:pStyle w:val="Normal"/>
        <w:spacing w:lineRule="auto" w:line="360"/>
        <w:ind w:firstLine="720" w:end="0"/>
        <w:rPr>
          <w:lang w:eastAsia="en-US"/>
        </w:rPr>
      </w:pPr>
      <w:r>
        <w:rPr>
          <w:lang w:eastAsia="en-US"/>
        </w:rPr>
        <w:t>PG&amp;E proposes that Schedule E-19V be eliminated and merged into Medium L&amp;P, and that mandatory Schedule E-19 (with 500 kW &gt;/=Maximum Demand &lt;/=1000 kW) be retained and categorized as Large L&amp;P.  PG&amp;E propose that the newly proposed Schedule A-14 same as Schedule A-10, except that Schedule A-14 will contain unbundled TOU generation energy charge provisions and a monthly TOU meter charge, and any applicable TOU processing or installation fees.  All Schedule A-10 accounts between 400 and 500 kW currently billed on the basis of a 30-minute demand interval be billed on the bases of a 15-minute demand interval.</w:t>
      </w:r>
    </w:p>
    <w:p>
      <w:pPr>
        <w:pStyle w:val="Normal"/>
        <w:spacing w:lineRule="auto" w:line="360"/>
        <w:rPr>
          <w:lang w:eastAsia="en-US"/>
        </w:rPr>
      </w:pPr>
      <w:r>
        <w:rPr>
          <w:b/>
          <w:lang w:eastAsia="en-US"/>
        </w:rPr>
        <w:t>7.4</w:t>
        <w:tab/>
      </w:r>
      <w:r>
        <w:rPr>
          <w:b/>
          <w:u w:val="single"/>
          <w:lang w:eastAsia="en-US"/>
        </w:rPr>
        <w:t>Customer Charge</w:t>
      </w:r>
    </w:p>
    <w:p>
      <w:pPr>
        <w:pStyle w:val="Normal"/>
        <w:spacing w:lineRule="auto" w:line="360"/>
        <w:ind w:firstLine="720" w:end="0"/>
        <w:rPr>
          <w:lang w:eastAsia="en-US"/>
        </w:rPr>
      </w:pPr>
      <w:r>
        <w:rPr>
          <w:lang w:eastAsia="en-US"/>
        </w:rPr>
        <w:t>In its filing, PG&amp;E proposes to eliminate the current customer charge distinction of $8.10 per month for single-phase service and $12 per month for three-phase service as shown in Schedule Nos. A-1 and A-6.  PG&amp;E propose a $12 per month customer charge regardless of the type of service distinction.  This creates parity with residential service, which has no incremental charge for three-phase service.  ORA does not believe that eliminating the customer charge distinction based on the type of phased service will save any billing and/or administration cost, as claimed by PG&amp;E in their filing.</w:t>
      </w:r>
    </w:p>
    <w:p>
      <w:pPr>
        <w:pStyle w:val="Normal"/>
        <w:spacing w:lineRule="auto" w:line="360"/>
        <w:ind w:firstLine="720" w:end="0"/>
        <w:rPr>
          <w:lang w:eastAsia="en-US"/>
        </w:rPr>
      </w:pPr>
      <w:r>
        <w:rPr>
          <w:lang w:eastAsia="en-US"/>
        </w:rPr>
        <w:t>ORA believes eliminating the customer charge distinction between single and three phase service violates PG&amp;E’s own rate design principle of using the cost of service as the main rate design criteria.  Currently it costs $411/customer to replace three-phase service and $271/customer for single-phase service.  ORA believe that it is appropriate to retain the current distinction of $8.10 per month for single-phase service and $12 per month for three-phase service in the Small L&amp;P class.  Otherwise, single-phase service customers will subsidize three-phase service customers.  The proposed $12 customer charge is about 25 percent of full EPMC, which is around $48 per month.  The $36 residual shortfall from full EPMC customer charge level is instead collected through energy charges in the same season as the shortfall.</w:t>
      </w:r>
    </w:p>
    <w:p>
      <w:pPr>
        <w:pStyle w:val="Normal"/>
        <w:spacing w:lineRule="auto" w:line="360"/>
        <w:ind w:firstLine="720" w:end="0"/>
        <w:rPr/>
      </w:pPr>
      <w:r>
        <w:rPr>
          <w:lang w:eastAsia="en-US"/>
        </w:rPr>
        <w:t>For Schedule A-15 PG&amp;E proposes a special facility charge of $25 per month, which covers all incremental costs of providing direct current rather than alternating current.  In Phase 2 of PG&amp;E’s 1993 GRC, the Commission ordered PG&amp;E to review the cost of service associated with the Schedule A-15 facility charge and to propose appropriate revisions in the 1996 GRC</w:t>
      </w:r>
      <w:r>
        <w:rPr>
          <w:rStyle w:val="FootnoteCharacters"/>
          <w:rStyle w:val="FootnoteReference"/>
          <w:lang w:eastAsia="en-US"/>
        </w:rPr>
        <w:footnoteReference w:customMarkFollows="1" w:id="47"/>
        <w:t>5</w:t>
      </w:r>
      <w:r>
        <w:rPr>
          <w:rStyle w:val="FootnoteCharacters"/>
          <w:lang w:eastAsia="en-US"/>
        </w:rPr>
        <w:t>1</w:t>
      </w:r>
      <w:r>
        <w:rPr>
          <w:lang w:eastAsia="en-US"/>
        </w:rPr>
        <w:t xml:space="preserve"> filing.  In the 1996 GRC, PG&amp;E presented its compliance cost study and demonstrated that the Schedule A-15 facility charge of $7.80 per month should be increased to $25 per month to fully cover the incremental cost of providing direct current service as opposed to alternating current service.  In the 1996 GRC Phase 2 D.97-12-044</w:t>
      </w:r>
      <w:r>
        <w:rPr>
          <w:rStyle w:val="FootnoteCharacters"/>
          <w:rStyle w:val="FootnoteReference"/>
          <w:lang w:eastAsia="en-US"/>
        </w:rPr>
        <w:footnoteReference w:customMarkFollows="1" w:id="48"/>
        <w:t>5</w:t>
      </w:r>
      <w:r>
        <w:rPr>
          <w:rStyle w:val="FootnoteCharacters"/>
          <w:lang w:eastAsia="en-US"/>
        </w:rPr>
        <w:t>2</w:t>
      </w:r>
      <w:r>
        <w:rPr>
          <w:lang w:eastAsia="en-US"/>
        </w:rPr>
        <w:t xml:space="preserve">, the Commission adopted the $25 facility charge, but noted that the electric rate freeze ordered in AB1890 precluded its implementation.  PG&amp;E current proposal is that post-freeze rates fully reflect the $25 facility charge associated with Schedule A-15 as adopted by in D.97-12-044.  </w:t>
      </w:r>
    </w:p>
    <w:p>
      <w:pPr>
        <w:pStyle w:val="Normal"/>
        <w:spacing w:lineRule="auto" w:line="360"/>
        <w:ind w:firstLine="720" w:end="0"/>
        <w:rPr>
          <w:lang w:eastAsia="en-US"/>
        </w:rPr>
      </w:pPr>
      <w:r>
        <w:rPr>
          <w:lang w:eastAsia="en-US"/>
        </w:rPr>
        <w:t>When implemented, Schedule A-15 customers will pay post-freeze rates based on new Schedule A-1 proposed rates (not including TTA), plus the $25 per month facility charge, billed at a daily rate of $0.82136.  For Small customers served on Schedule A-15, the facility charge of $25 will have an adverse billing impact (96 percent-106.89 percent increase).  ORA does not object to the new monthly facility charge but recommends a 25 percent per year rate cap in a customer’s total bills to minimize bill impact on Schedule A-15 customers until the entire new facility charge is recovered.  During the interim period any revenue shortfalls will be recovered from all other Small L&amp;P customers based on class EMPC.</w:t>
      </w:r>
    </w:p>
    <w:p>
      <w:pPr>
        <w:pStyle w:val="Normal"/>
        <w:spacing w:lineRule="auto" w:line="360"/>
        <w:rPr>
          <w:b/>
          <w:lang w:eastAsia="en-US"/>
        </w:rPr>
      </w:pPr>
      <w:r>
        <w:rPr>
          <w:b/>
          <w:lang w:eastAsia="en-US"/>
        </w:rPr>
        <w:t>7.5</w:t>
        <w:tab/>
      </w:r>
      <w:r>
        <w:rPr>
          <w:b/>
          <w:u w:val="single"/>
          <w:lang w:eastAsia="en-US"/>
        </w:rPr>
        <w:t>Recommendation</w:t>
      </w:r>
    </w:p>
    <w:p>
      <w:pPr>
        <w:pStyle w:val="Normal"/>
        <w:spacing w:lineRule="auto" w:line="360"/>
        <w:ind w:firstLine="720" w:end="0"/>
        <w:rPr>
          <w:lang w:eastAsia="en-US"/>
        </w:rPr>
      </w:pPr>
      <w:r>
        <w:rPr>
          <w:lang w:eastAsia="en-US"/>
        </w:rPr>
        <w:t xml:space="preserve">ORA recommends no change to current Small and Medium tariff schedules.  ORA recommends that PG&amp;E retain the current customer charge distinction of $8.10 per month for single-phase service and $12 per month for three-phase service in Schedule Nos. A-1 and A-6 in the Small L&amp;P class.  ORA also recommends that the TOU service options and HPO for distribution rate components continue for all Small and Medium L&amp;P accounts.  ORA opposes the elimination of TOU service options because it eliminates customers’ choices and reduces their flexibility to manage their bills.  </w:t>
      </w:r>
      <w:r>
        <w:br w:type="page"/>
      </w:r>
    </w:p>
    <w:p>
      <w:pPr>
        <w:pStyle w:val="Normal"/>
        <w:spacing w:lineRule="auto" w:line="360"/>
        <w:ind w:firstLine="720" w:end="0"/>
        <w:jc w:val="center"/>
        <w:rPr>
          <w:b/>
          <w:sz w:val="28"/>
        </w:rPr>
      </w:pPr>
      <w:r>
        <w:rPr>
          <w:b/>
          <w:sz w:val="28"/>
        </w:rPr>
        <w:t>TABLE 7-1</w:t>
      </w:r>
    </w:p>
    <w:p>
      <w:pPr>
        <w:pStyle w:val="Heading2"/>
        <w:spacing w:before="0" w:after="0"/>
        <w:ind w:hanging="0" w:start="0"/>
        <w:rPr>
          <w:sz w:val="28"/>
        </w:rPr>
      </w:pPr>
      <w:r>
        <w:rPr>
          <w:sz w:val="28"/>
        </w:rPr>
        <w:t>SMALL LIGHT AND POWER RATE DESIGN</w:t>
      </w:r>
    </w:p>
    <w:p>
      <w:pPr>
        <w:pStyle w:val="Header"/>
        <w:tabs>
          <w:tab w:val="clear" w:pos="4320"/>
          <w:tab w:val="clear" w:pos="8640"/>
        </w:tabs>
        <w:spacing w:lineRule="auto" w:line="360"/>
        <w:rPr>
          <w:sz w:val="28"/>
        </w:rPr>
      </w:pPr>
      <w:r>
        <w:rPr>
          <w:sz w:val="28"/>
        </w:rPr>
      </w:r>
    </w:p>
    <w:tbl>
      <w:tblPr>
        <w:tblW w:w="9606" w:type="dxa"/>
        <w:jc w:val="start"/>
        <w:tblInd w:w="0" w:type="dxa"/>
        <w:tblLayout w:type="fixed"/>
        <w:tblCellMar>
          <w:top w:w="0" w:type="dxa"/>
          <w:start w:w="30" w:type="dxa"/>
          <w:bottom w:w="0" w:type="dxa"/>
          <w:end w:w="30" w:type="dxa"/>
        </w:tblCellMar>
      </w:tblPr>
      <w:tblGrid>
        <w:gridCol w:w="3990"/>
        <w:gridCol w:w="1872"/>
        <w:gridCol w:w="1872"/>
        <w:gridCol w:w="1872"/>
      </w:tblGrid>
      <w:tr>
        <w:trPr>
          <w:trHeight w:val="281" w:hRule="atLeast"/>
        </w:trPr>
        <w:tc>
          <w:tcPr>
            <w:tcW w:w="3990" w:type="dxa"/>
            <w:tcBorders>
              <w:top w:val="single" w:sz="2" w:space="0" w:color="000000"/>
              <w:start w:val="single" w:sz="2" w:space="0" w:color="000000"/>
              <w:end w:val="single" w:sz="2" w:space="0" w:color="000000"/>
            </w:tcBorders>
            <w:shd w:fill="DFDFDF" w:val="clear"/>
          </w:tcPr>
          <w:p>
            <w:pPr>
              <w:pStyle w:val="Normal"/>
              <w:jc w:val="center"/>
              <w:rPr>
                <w:rFonts w:ascii="Arial" w:hAnsi="Arial" w:cs="Arial"/>
                <w:b/>
                <w:color w:val="000000"/>
                <w:lang w:eastAsia="en-US"/>
              </w:rPr>
            </w:pPr>
            <w:r>
              <w:rPr>
                <w:rFonts w:cs="Arial" w:ascii="Arial" w:hAnsi="Arial"/>
                <w:b/>
                <w:color w:val="000000"/>
                <w:lang w:eastAsia="en-US"/>
              </w:rPr>
              <w:t>Rate Description</w:t>
            </w:r>
          </w:p>
        </w:tc>
        <w:tc>
          <w:tcPr>
            <w:tcW w:w="1872" w:type="dxa"/>
            <w:tcBorders>
              <w:top w:val="single" w:sz="2" w:space="0" w:color="000000"/>
              <w:start w:val="single" w:sz="2" w:space="0" w:color="000000"/>
              <w:end w:val="single" w:sz="2" w:space="0" w:color="000000"/>
            </w:tcBorders>
            <w:shd w:fill="DFDFDF" w:val="clear"/>
          </w:tcPr>
          <w:p>
            <w:pPr>
              <w:pStyle w:val="Normal"/>
              <w:jc w:val="center"/>
              <w:rPr>
                <w:rFonts w:ascii="Arial" w:hAnsi="Arial" w:cs="Arial"/>
                <w:b/>
                <w:color w:val="000000"/>
                <w:lang w:eastAsia="en-US"/>
              </w:rPr>
            </w:pPr>
            <w:r>
              <w:rPr>
                <w:rFonts w:cs="Arial" w:ascii="Arial" w:hAnsi="Arial"/>
                <w:b/>
                <w:color w:val="000000"/>
                <w:lang w:eastAsia="en-US"/>
              </w:rPr>
              <w:t>Current Rate</w:t>
            </w:r>
          </w:p>
        </w:tc>
        <w:tc>
          <w:tcPr>
            <w:tcW w:w="1872" w:type="dxa"/>
            <w:tcBorders>
              <w:top w:val="single" w:sz="2" w:space="0" w:color="000000"/>
              <w:start w:val="single" w:sz="2" w:space="0" w:color="000000"/>
              <w:end w:val="single" w:sz="2" w:space="0" w:color="000000"/>
            </w:tcBorders>
            <w:shd w:fill="DFDFDF" w:val="clear"/>
          </w:tcPr>
          <w:p>
            <w:pPr>
              <w:pStyle w:val="Normal"/>
              <w:jc w:val="center"/>
              <w:rPr>
                <w:rFonts w:ascii="Arial" w:hAnsi="Arial" w:cs="Arial"/>
                <w:b/>
                <w:color w:val="000000"/>
                <w:lang w:eastAsia="en-US"/>
              </w:rPr>
            </w:pPr>
            <w:r>
              <w:rPr>
                <w:rFonts w:cs="Arial" w:ascii="Arial" w:hAnsi="Arial"/>
                <w:b/>
                <w:color w:val="000000"/>
                <w:lang w:eastAsia="en-US"/>
              </w:rPr>
              <w:t>PG&amp;E</w:t>
            </w:r>
          </w:p>
        </w:tc>
        <w:tc>
          <w:tcPr>
            <w:tcW w:w="1872" w:type="dxa"/>
            <w:tcBorders>
              <w:top w:val="single" w:sz="2" w:space="0" w:color="000000"/>
              <w:start w:val="single" w:sz="2" w:space="0" w:color="000000"/>
              <w:end w:val="single" w:sz="2" w:space="0" w:color="000000"/>
            </w:tcBorders>
            <w:shd w:fill="DFDFDF" w:val="clear"/>
          </w:tcPr>
          <w:p>
            <w:pPr>
              <w:pStyle w:val="Normal"/>
              <w:jc w:val="center"/>
              <w:rPr>
                <w:rFonts w:ascii="Arial" w:hAnsi="Arial" w:cs="Arial"/>
                <w:b/>
                <w:color w:val="000000"/>
                <w:lang w:eastAsia="en-US"/>
              </w:rPr>
            </w:pPr>
            <w:r>
              <w:rPr>
                <w:rFonts w:cs="Arial" w:ascii="Arial" w:hAnsi="Arial"/>
                <w:b/>
                <w:color w:val="000000"/>
                <w:lang w:eastAsia="en-US"/>
              </w:rPr>
              <w:t>ORA</w:t>
            </w:r>
          </w:p>
        </w:tc>
      </w:tr>
      <w:tr>
        <w:trPr>
          <w:trHeight w:val="266" w:hRule="atLeast"/>
        </w:trPr>
        <w:tc>
          <w:tcPr>
            <w:tcW w:w="3990" w:type="dxa"/>
            <w:tcBorders>
              <w:start w:val="single" w:sz="2" w:space="0" w:color="000000"/>
              <w:bottom w:val="single" w:sz="2" w:space="0" w:color="000000"/>
              <w:end w:val="single" w:sz="2" w:space="0" w:color="000000"/>
            </w:tcBorders>
            <w:shd w:fill="DFDFD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tcBorders>
              <w:start w:val="single" w:sz="2" w:space="0" w:color="000000"/>
              <w:bottom w:val="single" w:sz="2" w:space="0" w:color="000000"/>
              <w:end w:val="single" w:sz="2" w:space="0" w:color="000000"/>
            </w:tcBorders>
            <w:shd w:fill="DFDFDF"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DFDFDF"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c>
          <w:tcPr>
            <w:tcW w:w="1872" w:type="dxa"/>
            <w:tcBorders>
              <w:top w:val="single" w:sz="2" w:space="0" w:color="000000"/>
              <w:start w:val="single" w:sz="2" w:space="0" w:color="000000"/>
              <w:bottom w:val="single" w:sz="2" w:space="0" w:color="000000"/>
              <w:end w:val="single" w:sz="2" w:space="0" w:color="000000"/>
            </w:tcBorders>
            <w:shd w:fill="DFDFDF"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r>
      <w:tr>
        <w:trPr>
          <w:trHeight w:val="360" w:hRule="atLeast"/>
        </w:trPr>
        <w:tc>
          <w:tcPr>
            <w:tcW w:w="3990"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(b)</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(d)</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A-1</w:t>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Customer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 xml:space="preserve">Single-phase Service </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Polyphase Service</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Meter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pPr>
            <w:r>
              <w:rPr>
                <w:rFonts w:eastAsia="Arial" w:cs="Arial" w:ascii="Arial" w:hAnsi="Arial"/>
                <w:b/>
                <w:color w:val="000000"/>
                <w:lang w:eastAsia="en-US"/>
              </w:rPr>
              <w:t xml:space="preserve">         </w:t>
            </w:r>
            <w:r>
              <w:rPr>
                <w:rFonts w:cs="Arial" w:ascii="Arial" w:hAnsi="Arial"/>
                <w:color w:val="000000"/>
                <w:lang w:eastAsia="en-US"/>
              </w:rPr>
              <w:t>Rates W</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$1.85</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$1.85</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pPr>
            <w:r>
              <w:rPr>
                <w:rFonts w:eastAsia="Arial" w:cs="Arial" w:ascii="Arial" w:hAnsi="Arial"/>
                <w:b/>
                <w:color w:val="000000"/>
                <w:lang w:eastAsia="en-US"/>
              </w:rPr>
              <w:t xml:space="preserve">         </w:t>
            </w:r>
            <w:r>
              <w:rPr>
                <w:rFonts w:cs="Arial" w:ascii="Arial" w:hAnsi="Arial"/>
                <w:color w:val="000000"/>
                <w:lang w:eastAsia="en-US"/>
              </w:rPr>
              <w:t>Rates X and Rate A-6</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$6.80</w:t>
            </w:r>
          </w:p>
          <w:p>
            <w:pPr>
              <w:pStyle w:val="Normal"/>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$6.80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$6.80</w:t>
            </w:r>
          </w:p>
          <w:p>
            <w:pPr>
              <w:pStyle w:val="Normal"/>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Distr. Energy Rate ($/kWh)</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 per kWh per month</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$0.04047</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$0.04167</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$0.04349</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per kWh per month</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$0.02774</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$0.02996</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$0.2457</w:t>
            </w:r>
          </w:p>
        </w:tc>
      </w:tr>
      <w:tr>
        <w:trPr>
          <w:trHeight w:val="360" w:hRule="atLeast"/>
        </w:trPr>
        <w:tc>
          <w:tcPr>
            <w:tcW w:w="3990" w:type="dxa"/>
            <w:tcBorders>
              <w:top w:val="single" w:sz="2" w:space="0" w:color="000000"/>
              <w:start w:val="single" w:sz="2" w:space="0" w:color="000000"/>
              <w:end w:val="single" w:sz="2"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end w:val="single" w:sz="2"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TC-1</w:t>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Customer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Distr. Energy Rate ($/kWh)</w:t>
            </w:r>
            <w:r>
              <w:rPr>
                <w:rStyle w:val="FootnoteCharacters"/>
                <w:rStyle w:val="FootnoteReference"/>
                <w:rFonts w:cs="Arial" w:ascii="Arial" w:hAnsi="Arial"/>
                <w:color w:val="000000"/>
                <w:lang w:eastAsia="en-US"/>
              </w:rPr>
              <w:footnoteReference w:id="49"/>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$0.03579</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$0.03702</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$0.01959</w:t>
            </w:r>
          </w:p>
        </w:tc>
      </w:tr>
      <w:tr>
        <w:trPr>
          <w:trHeight w:val="360" w:hRule="atLeast"/>
        </w:trPr>
        <w:tc>
          <w:tcPr>
            <w:tcW w:w="3990" w:type="dxa"/>
            <w:tcBorders>
              <w:top w:val="single" w:sz="2" w:space="0" w:color="000000"/>
              <w:start w:val="single" w:sz="2" w:space="0" w:color="000000"/>
              <w:end w:val="single" w:sz="2"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end w:val="single" w:sz="2"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A-15</w:t>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Customer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Direct Current Facility Charge</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(in $/Meter-mo.) if applicable</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$7.80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$25.00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$25.00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Distr. Energy Rate ($/kWh)</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 per kWh per month</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$0.10625</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0.04167 </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$0.11927</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per kWh per month</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$0.08538</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0.02996</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$0.9964</w:t>
            </w:r>
          </w:p>
        </w:tc>
      </w:tr>
    </w:tbl>
    <w:p>
      <w:pPr>
        <w:pStyle w:val="Normal"/>
        <w:spacing w:lineRule="auto" w:line="360"/>
        <w:jc w:val="center"/>
        <w:rPr>
          <w:b/>
          <w:sz w:val="28"/>
        </w:rPr>
      </w:pPr>
      <w:r>
        <w:br w:type="page"/>
      </w:r>
      <w:r>
        <w:rPr>
          <w:b/>
          <w:sz w:val="28"/>
        </w:rPr>
        <w:t>TABLE 7-1 (Continued)</w:t>
      </w:r>
    </w:p>
    <w:p>
      <w:pPr>
        <w:pStyle w:val="Heading2"/>
        <w:spacing w:before="0" w:after="0"/>
        <w:ind w:hanging="0" w:start="0"/>
        <w:rPr>
          <w:sz w:val="28"/>
        </w:rPr>
      </w:pPr>
      <w:r>
        <w:rPr>
          <w:sz w:val="28"/>
        </w:rPr>
        <w:t>SMALL LIGHT AND POWER RATE DESIGN</w:t>
      </w:r>
    </w:p>
    <w:p>
      <w:pPr>
        <w:pStyle w:val="Table"/>
        <w:rPr>
          <w:sz w:val="28"/>
        </w:rPr>
      </w:pPr>
      <w:r>
        <w:rPr>
          <w:sz w:val="28"/>
        </w:rPr>
      </w:r>
    </w:p>
    <w:tbl>
      <w:tblPr>
        <w:tblW w:w="9606" w:type="dxa"/>
        <w:jc w:val="start"/>
        <w:tblInd w:w="0" w:type="dxa"/>
        <w:tblLayout w:type="fixed"/>
        <w:tblCellMar>
          <w:top w:w="0" w:type="dxa"/>
          <w:start w:w="30" w:type="dxa"/>
          <w:bottom w:w="0" w:type="dxa"/>
          <w:end w:w="30" w:type="dxa"/>
        </w:tblCellMar>
      </w:tblPr>
      <w:tblGrid>
        <w:gridCol w:w="3990"/>
        <w:gridCol w:w="1872"/>
        <w:gridCol w:w="1872"/>
        <w:gridCol w:w="1872"/>
      </w:tblGrid>
      <w:tr>
        <w:trPr>
          <w:trHeight w:val="281" w:hRule="atLeast"/>
        </w:trPr>
        <w:tc>
          <w:tcPr>
            <w:tcW w:w="3990"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Rate Description</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Current Rate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PG&amp;E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ORA</w:t>
            </w:r>
          </w:p>
        </w:tc>
      </w:tr>
      <w:tr>
        <w:trPr>
          <w:trHeight w:val="266" w:hRule="atLeast"/>
        </w:trPr>
        <w:tc>
          <w:tcPr>
            <w:tcW w:w="3990" w:type="dxa"/>
            <w:tcBorders>
              <w:start w:val="single" w:sz="2" w:space="0" w:color="000000"/>
              <w:bottom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tcBorders>
              <w:start w:val="single" w:sz="2" w:space="0" w:color="000000"/>
              <w:bottom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c>
          <w:tcPr>
            <w:tcW w:w="1872" w:type="dxa"/>
            <w:tcBorders>
              <w:top w:val="single" w:sz="2" w:space="0" w:color="000000"/>
              <w:start w:val="single" w:sz="2" w:space="0" w:color="000000"/>
              <w:bottom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r>
      <w:tr>
        <w:trPr>
          <w:trHeight w:val="360" w:hRule="atLeast"/>
        </w:trPr>
        <w:tc>
          <w:tcPr>
            <w:tcW w:w="3990"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(b)</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(d)</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A-6</w:t>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Meter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$6.80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$6.80(X)/ $2.(W)</w:t>
            </w:r>
          </w:p>
        </w:tc>
        <w:tc>
          <w:tcPr>
            <w:tcW w:w="187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$6.80(X)/ $2.(W)</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Customer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Single-phase Service</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Polyphase Service</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Installation Charge (one time)</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$443.00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$443.00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$443.00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Processing Charge (one time)</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$87.00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$87.00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$87.00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Distr. Energy Rate ($/kWh)</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Peak-Period</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$0.03849</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0.04167</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$0.06572</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Part-Peak-Period</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$0.01703</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0.04167</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$0.02907</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$0.01914</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0.02996</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$0.02570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Off-Peak-Period</w:t>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553"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$0.00930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0.04167</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$0.01587</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$0.01187</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0.02996</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$0.01594</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TC-1</w:t>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Customer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$8.10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 xml:space="preserve">Distr. Energy Rate ($/kWh) </w:t>
            </w:r>
            <w:r>
              <w:rPr>
                <w:rStyle w:val="FootnoteCharacters"/>
                <w:rStyle w:val="FootnoteReference"/>
                <w:rFonts w:cs="Arial" w:ascii="Arial" w:hAnsi="Arial"/>
                <w:color w:val="000000"/>
                <w:lang w:eastAsia="en-US"/>
              </w:rPr>
              <w:footnoteReference w:customMarkFollows="1" w:id="50"/>
              <w:t>5</w:t>
            </w:r>
            <w:r>
              <w:rPr>
                <w:rStyle w:val="FootnoteCharacters"/>
                <w:rFonts w:cs="Arial" w:ascii="Arial" w:hAnsi="Arial"/>
                <w:color w:val="000000"/>
                <w:lang w:eastAsia="en-US"/>
              </w:rPr>
              <w:t>4</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$0.03694 </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$0.03702</w:t>
            </w:r>
          </w:p>
        </w:tc>
        <w:tc>
          <w:tcPr>
            <w:tcW w:w="187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$0.02149</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E-36 (AG 5-B)</w:t>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Customer Charge ($/Meter-Mo.)</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$16.00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$70.00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$16.00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 per kWh per month</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$0.14294</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See Sched A-10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See Sched A-10</w:t>
            </w:r>
          </w:p>
        </w:tc>
      </w:tr>
      <w:tr>
        <w:trPr>
          <w:trHeight w:val="360" w:hRule="atLeast"/>
        </w:trPr>
        <w:tc>
          <w:tcPr>
            <w:tcW w:w="399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per kWh per month</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$0.04088</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See Sched A-10</w:t>
            </w:r>
          </w:p>
        </w:tc>
        <w:tc>
          <w:tcPr>
            <w:tcW w:w="187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See Sched A-10</w:t>
            </w:r>
          </w:p>
        </w:tc>
      </w:tr>
    </w:tbl>
    <w:p>
      <w:pPr>
        <w:sectPr>
          <w:footerReference w:type="default" r:id="rId22"/>
          <w:footerReference w:type="first" r:id="rId23"/>
          <w:footnotePr>
            <w:numFmt w:val="decimal"/>
          </w:footnotePr>
          <w:type w:val="nextPage"/>
          <w:pgSz w:w="12240" w:h="15840"/>
          <w:pgMar w:left="1800" w:right="1800" w:gutter="0" w:header="0" w:top="1440" w:footer="720" w:bottom="1440"/>
          <w:lnNumType w:countBy="1" w:restart="newPage" w:distance="283"/>
          <w:pgNumType w:start="1" w:fmt="decimal"/>
          <w:formProt w:val="false"/>
          <w:textDirection w:val="lrTb"/>
          <w:docGrid w:type="default" w:linePitch="360" w:charSpace="0"/>
        </w:sectPr>
      </w:pPr>
    </w:p>
    <w:p>
      <w:pPr>
        <w:pStyle w:val="Normal"/>
        <w:spacing w:lineRule="auto" w:line="360"/>
        <w:jc w:val="center"/>
        <w:rPr>
          <w:b/>
          <w:sz w:val="28"/>
        </w:rPr>
      </w:pPr>
      <w:r>
        <w:rPr>
          <w:b/>
          <w:sz w:val="28"/>
        </w:rPr>
        <w:t>TABLE 7-2</w:t>
      </w:r>
    </w:p>
    <w:p>
      <w:pPr>
        <w:pStyle w:val="Heading2"/>
        <w:spacing w:before="0" w:after="0"/>
        <w:ind w:hanging="0" w:start="0"/>
        <w:rPr/>
      </w:pPr>
      <w:r>
        <w:rPr/>
        <w:t>MEDIUM LIGHT AND POWER RATE DESIGN</w:t>
      </w:r>
    </w:p>
    <w:tbl>
      <w:tblPr>
        <w:tblW w:w="9606" w:type="dxa"/>
        <w:jc w:val="start"/>
        <w:tblInd w:w="0" w:type="dxa"/>
        <w:tblLayout w:type="fixed"/>
        <w:tblCellMar>
          <w:top w:w="0" w:type="dxa"/>
          <w:start w:w="30" w:type="dxa"/>
          <w:bottom w:w="0" w:type="dxa"/>
          <w:end w:w="30" w:type="dxa"/>
        </w:tblCellMar>
      </w:tblPr>
      <w:tblGrid>
        <w:gridCol w:w="3989"/>
        <w:gridCol w:w="1"/>
        <w:gridCol w:w="1871"/>
        <w:gridCol w:w="1"/>
        <w:gridCol w:w="1871"/>
        <w:gridCol w:w="1"/>
        <w:gridCol w:w="1871"/>
        <w:gridCol w:w="1"/>
      </w:tblGrid>
      <w:tr>
        <w:trPr>
          <w:trHeight w:val="281" w:hRule="atLeast"/>
        </w:trPr>
        <w:tc>
          <w:tcPr>
            <w:tcW w:w="3990"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Rate Description</w:t>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Current Rate</w:t>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PG&amp;E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ORA</w:t>
            </w:r>
          </w:p>
        </w:tc>
      </w:tr>
      <w:tr>
        <w:trPr>
          <w:trHeight w:val="266" w:hRule="atLeast"/>
        </w:trPr>
        <w:tc>
          <w:tcPr>
            <w:tcW w:w="3990" w:type="dxa"/>
            <w:gridSpan w:val="2"/>
            <w:tcBorders>
              <w:start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gridSpan w:val="2"/>
            <w:tcBorders>
              <w:start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r>
      <w:tr>
        <w:trPr>
          <w:trHeight w:val="360" w:hRule="atLeast"/>
        </w:trPr>
        <w:tc>
          <w:tcPr>
            <w:tcW w:w="3990"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w:t>
            </w:r>
          </w:p>
        </w:tc>
        <w:tc>
          <w:tcPr>
            <w:tcW w:w="1872"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(b)</w:t>
            </w:r>
          </w:p>
        </w:tc>
        <w:tc>
          <w:tcPr>
            <w:tcW w:w="1872"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(d)</w:t>
            </w:r>
          </w:p>
        </w:tc>
      </w:tr>
      <w:tr>
        <w:trPr>
          <w:trHeight w:val="320" w:hRule="atLeast"/>
        </w:trPr>
        <w:tc>
          <w:tcPr>
            <w:tcW w:w="3990" w:type="dxa"/>
            <w:gridSpan w:val="2"/>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A-10</w:t>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c>
          <w:tcPr>
            <w:tcW w:w="1872"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rPr>
                <w:rFonts w:ascii="Arial" w:hAnsi="Arial" w:cs="Arial"/>
                <w:b/>
                <w:color w:val="000000"/>
                <w:lang w:eastAsia="en-US"/>
              </w:rPr>
            </w:pPr>
            <w:r>
              <w:rPr>
                <w:rFonts w:cs="Arial" w:ascii="Arial" w:hAnsi="Arial"/>
                <w:b/>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Customer Charge ($/Meter-Mo.)</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Secondary</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$70.00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Primary</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$70.00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Transmission</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$70.00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TOU Meter Charge ($/Meter-Mo.)</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$6.80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8"/>
                <w:lang w:eastAsia="en-US"/>
              </w:rPr>
            </w:pPr>
            <w:r>
              <w:rPr>
                <w:rFonts w:cs="Arial" w:ascii="Arial" w:hAnsi="Arial"/>
                <w:color w:val="000000"/>
                <w:sz w:val="28"/>
                <w:lang w:eastAsia="en-US"/>
              </w:rPr>
              <w:t>Max.Dem Distr.Rate ($/kW-mo.)</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Secondary  -  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$4.42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$3.72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$4.13</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$1.13</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$1.24</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Primary  -  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$3.82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$2.73</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$3.05</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$1.15</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$0.85</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$2.29</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Transmission  -  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$0.03</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$.22</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$0.23</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$.23</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Distr. Energy Rate ($/kWh)</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Secondary  -  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$0.00986</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$0.01156</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$0.01293</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$0.00805</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$0.00374</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$0.00399</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Primary  -  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$0.00632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$0.00770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$0.00755</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$0.00566</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$0.00231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$0.00606</w:t>
            </w:r>
          </w:p>
        </w:tc>
      </w:tr>
      <w:tr>
        <w:trPr>
          <w:trHeight w:val="320" w:hRule="atLeast"/>
        </w:trPr>
        <w:tc>
          <w:tcPr>
            <w:tcW w:w="3989" w:type="dxa"/>
            <w:tcBorders>
              <w:top w:val="single" w:sz="2" w:space="0" w:color="000000"/>
              <w:start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Transmission  -  Summer</w:t>
            </w:r>
          </w:p>
        </w:tc>
        <w:tc>
          <w:tcPr>
            <w:tcW w:w="1872" w:type="dxa"/>
            <w:gridSpan w:val="2"/>
            <w:tcBorders>
              <w:top w:val="single" w:sz="2" w:space="0" w:color="000000"/>
              <w:start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$0.00274</w:t>
            </w:r>
          </w:p>
        </w:tc>
        <w:tc>
          <w:tcPr>
            <w:tcW w:w="1872" w:type="dxa"/>
            <w:gridSpan w:val="2"/>
            <w:tcBorders>
              <w:top w:val="single" w:sz="2" w:space="0" w:color="000000"/>
              <w:start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$0.00077</w:t>
            </w:r>
          </w:p>
        </w:tc>
        <w:tc>
          <w:tcPr>
            <w:tcW w:w="1872" w:type="dxa"/>
            <w:gridSpan w:val="2"/>
            <w:tcBorders>
              <w:top w:val="single" w:sz="2" w:space="0" w:color="000000"/>
              <w:start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$0.00755</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$0.00223</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$0.00064</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$0.00606</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E-19V (TOU) or new A-14 (TOU)</w:t>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 xml:space="preserve">Customer Charge ($/Meter-Mo.) </w:t>
            </w:r>
            <w:r>
              <w:rPr>
                <w:rStyle w:val="FootnoteCharacters"/>
                <w:rStyle w:val="FootnoteReference"/>
                <w:rFonts w:cs="Arial" w:ascii="Arial" w:hAnsi="Arial"/>
                <w:color w:val="000000"/>
                <w:lang w:eastAsia="en-US"/>
              </w:rPr>
              <w:footnoteReference w:customMarkFollows="1" w:id="51"/>
              <w:t>5</w:t>
            </w:r>
            <w:r>
              <w:rPr>
                <w:rStyle w:val="FootnoteCharacters"/>
                <w:rFonts w:cs="Arial" w:ascii="Arial" w:hAnsi="Arial"/>
                <w:color w:val="000000"/>
                <w:lang w:eastAsia="en-US"/>
              </w:rPr>
              <w:t>5</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$70.00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$70.00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(Same for S, P, T, customers)</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Demand Charge($/kW Maxi Demand)</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Secondary  -  Summer 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$4.89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$3.68</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$4.26</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Part-peak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$1.35</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$3.68</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$1.17</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Maximum</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$1.39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$3.68</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  Part-peak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$1.35</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$0.97</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Maximum</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$1.39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$1.02</w:t>
            </w:r>
          </w:p>
        </w:tc>
      </w:tr>
    </w:tbl>
    <w:p>
      <w:pPr>
        <w:pStyle w:val="Normal"/>
        <w:spacing w:lineRule="auto" w:line="360"/>
        <w:jc w:val="center"/>
        <w:rPr>
          <w:b/>
          <w:sz w:val="28"/>
        </w:rPr>
      </w:pPr>
      <w:r>
        <w:rPr>
          <w:b/>
          <w:sz w:val="28"/>
        </w:rPr>
        <w:t>TABLE 7-2 (Continued)</w:t>
      </w:r>
    </w:p>
    <w:p>
      <w:pPr>
        <w:pStyle w:val="Heading2"/>
        <w:spacing w:before="0" w:after="0"/>
        <w:ind w:hanging="0" w:start="0"/>
        <w:rPr>
          <w:sz w:val="28"/>
        </w:rPr>
      </w:pPr>
      <w:r>
        <w:rPr>
          <w:sz w:val="28"/>
        </w:rPr>
        <w:t>MEDIUM LIGHT AND POWER RATE DESIGN</w:t>
      </w:r>
    </w:p>
    <w:p>
      <w:pPr>
        <w:pStyle w:val="Normal"/>
        <w:rPr>
          <w:sz w:val="28"/>
        </w:rPr>
      </w:pPr>
      <w:r>
        <w:rPr>
          <w:sz w:val="28"/>
        </w:rPr>
      </w:r>
    </w:p>
    <w:tbl>
      <w:tblPr>
        <w:tblW w:w="9606" w:type="dxa"/>
        <w:jc w:val="start"/>
        <w:tblInd w:w="0" w:type="dxa"/>
        <w:tblLayout w:type="fixed"/>
        <w:tblCellMar>
          <w:top w:w="0" w:type="dxa"/>
          <w:start w:w="30" w:type="dxa"/>
          <w:bottom w:w="0" w:type="dxa"/>
          <w:end w:w="30" w:type="dxa"/>
        </w:tblCellMar>
      </w:tblPr>
      <w:tblGrid>
        <w:gridCol w:w="3989"/>
        <w:gridCol w:w="1"/>
        <w:gridCol w:w="1871"/>
        <w:gridCol w:w="1"/>
        <w:gridCol w:w="1871"/>
        <w:gridCol w:w="1"/>
        <w:gridCol w:w="1871"/>
        <w:gridCol w:w="1"/>
      </w:tblGrid>
      <w:tr>
        <w:trPr>
          <w:trHeight w:val="281" w:hRule="atLeast"/>
        </w:trPr>
        <w:tc>
          <w:tcPr>
            <w:tcW w:w="3990"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Rate Description</w:t>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Current Rate</w:t>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PG&amp;E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ORA</w:t>
            </w:r>
          </w:p>
        </w:tc>
      </w:tr>
      <w:tr>
        <w:trPr>
          <w:trHeight w:val="266" w:hRule="atLeast"/>
        </w:trPr>
        <w:tc>
          <w:tcPr>
            <w:tcW w:w="3990" w:type="dxa"/>
            <w:gridSpan w:val="2"/>
            <w:tcBorders>
              <w:start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gridSpan w:val="2"/>
            <w:tcBorders>
              <w:start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r>
      <w:tr>
        <w:trPr>
          <w:trHeight w:val="360" w:hRule="atLeast"/>
        </w:trPr>
        <w:tc>
          <w:tcPr>
            <w:tcW w:w="3990"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w:t>
            </w:r>
          </w:p>
        </w:tc>
        <w:tc>
          <w:tcPr>
            <w:tcW w:w="1872"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(b)</w:t>
            </w:r>
          </w:p>
        </w:tc>
        <w:tc>
          <w:tcPr>
            <w:tcW w:w="1872"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(d)</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shd w:fill="F2F2F2" w:val="clear"/>
          </w:tcPr>
          <w:p>
            <w:pPr>
              <w:pStyle w:val="Normal"/>
              <w:jc w:val="center"/>
              <w:rPr>
                <w:rFonts w:ascii="Arial" w:hAnsi="Arial" w:cs="Arial"/>
                <w:b/>
                <w:color w:val="000000"/>
                <w:lang w:eastAsia="en-US"/>
              </w:rPr>
            </w:pPr>
            <w:r>
              <w:rPr>
                <w:rFonts w:cs="Arial" w:ascii="Arial" w:hAnsi="Arial"/>
                <w:b/>
                <w:color w:val="000000"/>
                <w:lang w:eastAsia="en-US"/>
              </w:rPr>
              <w:t>Schedule E-19V (TOU) or new A-14 (TOU) (Continued)</w:t>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Primary  -  Summer  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$3.51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$2.69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$4.26</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Part-peak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$2.69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$1.17</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Maximum</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$2.69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Part-peak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$0.84</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$0.97</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Maximum</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$0.84</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$1.02</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Transmission  -  Summer 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Partial-Peak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Maximum</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  Part-peak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Maximum</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Energy Charge ($/kWh)</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Secondary  -  Summer 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$0.00657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$0.01147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$0.00791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Partial-Peak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$0.00435</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$0.01147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$0.00524</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Off-Peak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$0.00379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$0.01147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$0.00457</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  Partial-Peak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$0.00479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$0.00371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$0.00192</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Off-Peak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$0.00377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$0.00371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$0.00191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Primary  -  Summer 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$0.00261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$0.00761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$0.00524</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Partial-Peak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$0.00203</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$0.00761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$0.00457</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Off-Peak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$0.00199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$0.00761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$0.00492</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  Part-Peak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$0.00237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$0.00228</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$0.00151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Off-Peak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$0.00199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$0.00228</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$0.00134</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Transmission Summer 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$0.01166</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$0.00070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$0.00026</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Partial-Peak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$0.00884</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$0.00070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$0.00022</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Off-Peak.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$0.00831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$0.00070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$0.00019</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  -  Partial-Peak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$0.01091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$0.00057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$0.00039</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Off-Peak</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$0.00898</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$0.00057</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$0.00032</w:t>
            </w:r>
          </w:p>
        </w:tc>
      </w:tr>
    </w:tbl>
    <w:p>
      <w:pPr>
        <w:pStyle w:val="Normal"/>
        <w:spacing w:lineRule="auto" w:line="360"/>
        <w:jc w:val="center"/>
        <w:rPr>
          <w:b/>
          <w:sz w:val="28"/>
        </w:rPr>
      </w:pPr>
      <w:r>
        <w:br w:type="page"/>
      </w:r>
      <w:r>
        <w:rPr>
          <w:b/>
          <w:sz w:val="28"/>
        </w:rPr>
        <w:t>TABLE 7-2 (Continued)</w:t>
      </w:r>
    </w:p>
    <w:p>
      <w:pPr>
        <w:pStyle w:val="Heading2"/>
        <w:spacing w:before="0" w:after="0"/>
        <w:ind w:hanging="0" w:start="0"/>
        <w:rPr>
          <w:sz w:val="28"/>
        </w:rPr>
      </w:pPr>
      <w:r>
        <w:rPr>
          <w:sz w:val="28"/>
        </w:rPr>
        <w:t>MEDIUM LIGHT AND POWER RATE DESIGN</w:t>
      </w:r>
    </w:p>
    <w:p>
      <w:pPr>
        <w:pStyle w:val="Normal"/>
        <w:rPr>
          <w:sz w:val="28"/>
        </w:rPr>
      </w:pPr>
      <w:r>
        <w:rPr>
          <w:sz w:val="28"/>
        </w:rPr>
      </w:r>
    </w:p>
    <w:tbl>
      <w:tblPr>
        <w:tblW w:w="9606" w:type="dxa"/>
        <w:jc w:val="start"/>
        <w:tblInd w:w="0" w:type="dxa"/>
        <w:tblLayout w:type="fixed"/>
        <w:tblCellMar>
          <w:top w:w="0" w:type="dxa"/>
          <w:start w:w="30" w:type="dxa"/>
          <w:bottom w:w="0" w:type="dxa"/>
          <w:end w:w="30" w:type="dxa"/>
        </w:tblCellMar>
      </w:tblPr>
      <w:tblGrid>
        <w:gridCol w:w="3989"/>
        <w:gridCol w:w="1"/>
        <w:gridCol w:w="1871"/>
        <w:gridCol w:w="1"/>
        <w:gridCol w:w="1871"/>
        <w:gridCol w:w="1"/>
        <w:gridCol w:w="1871"/>
        <w:gridCol w:w="1"/>
      </w:tblGrid>
      <w:tr>
        <w:trPr>
          <w:trHeight w:val="281" w:hRule="atLeast"/>
        </w:trPr>
        <w:tc>
          <w:tcPr>
            <w:tcW w:w="3990"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Rate Description</w:t>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Current Rate</w:t>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PG&amp;E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ORA</w:t>
            </w:r>
          </w:p>
        </w:tc>
      </w:tr>
      <w:tr>
        <w:trPr>
          <w:trHeight w:val="266" w:hRule="atLeast"/>
        </w:trPr>
        <w:tc>
          <w:tcPr>
            <w:tcW w:w="3990" w:type="dxa"/>
            <w:gridSpan w:val="2"/>
            <w:tcBorders>
              <w:start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gridSpan w:val="2"/>
            <w:tcBorders>
              <w:start w:val="single" w:sz="2" w:space="0" w:color="000000"/>
              <w:end w:val="single" w:sz="2" w:space="0" w:color="000000"/>
            </w:tcBorders>
            <w:shd w:fill="E5E5E5" w:val="clear"/>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872" w:type="dxa"/>
            <w:gridSpan w:val="2"/>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c>
          <w:tcPr>
            <w:tcW w:w="1872" w:type="dxa"/>
            <w:tcBorders>
              <w:top w:val="single" w:sz="2" w:space="0" w:color="000000"/>
              <w:start w:val="single" w:sz="2" w:space="0" w:color="000000"/>
              <w:end w:val="single" w:sz="2" w:space="0" w:color="000000"/>
            </w:tcBorders>
            <w:shd w:fill="E5E5E5" w:val="clear"/>
          </w:tcPr>
          <w:p>
            <w:pPr>
              <w:pStyle w:val="Normal"/>
              <w:jc w:val="center"/>
              <w:rPr>
                <w:rFonts w:ascii="Arial" w:hAnsi="Arial" w:cs="Arial"/>
                <w:b/>
                <w:color w:val="000000"/>
                <w:lang w:eastAsia="en-US"/>
              </w:rPr>
            </w:pPr>
            <w:r>
              <w:rPr>
                <w:rFonts w:cs="Arial" w:ascii="Arial" w:hAnsi="Arial"/>
                <w:b/>
                <w:color w:val="000000"/>
                <w:lang w:eastAsia="en-US"/>
              </w:rPr>
              <w:t>Proposed Rate</w:t>
            </w:r>
          </w:p>
        </w:tc>
      </w:tr>
      <w:tr>
        <w:trPr>
          <w:trHeight w:val="360" w:hRule="atLeast"/>
        </w:trPr>
        <w:tc>
          <w:tcPr>
            <w:tcW w:w="3990"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w:t>
            </w:r>
          </w:p>
        </w:tc>
        <w:tc>
          <w:tcPr>
            <w:tcW w:w="1872"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(b)</w:t>
            </w:r>
          </w:p>
        </w:tc>
        <w:tc>
          <w:tcPr>
            <w:tcW w:w="1872" w:type="dxa"/>
            <w:gridSpan w:val="2"/>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w:t>
            </w:r>
          </w:p>
        </w:tc>
        <w:tc>
          <w:tcPr>
            <w:tcW w:w="1872" w:type="dxa"/>
            <w:tcBorders>
              <w:top w:val="single" w:sz="2" w:space="0" w:color="000000"/>
              <w:start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(d)</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shd w:fill="F2F2F2" w:val="clear"/>
          </w:tcPr>
          <w:p>
            <w:pPr>
              <w:pStyle w:val="Heading4"/>
              <w:spacing w:lineRule="auto" w:line="240"/>
              <w:ind w:hanging="0" w:start="0"/>
              <w:rPr/>
            </w:pPr>
            <w:r>
              <w:rPr/>
              <w:t>Schedule E-37 (AG 5-B)</w:t>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73"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Demand Charge for Rates W and X</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(per kW of maximum demand)</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$4.92</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See Sched A-10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See Sched A-10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$3.30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A-14 or E-19 depending </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A-14 or E-19 depending </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Rates W and X (per kW of Maximum-</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On size of demand</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On size of demand</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Peak-Period Demand</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$2.03</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Voltage Discount Per kW of Maximum Demand</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Primary</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$0.71</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$0.71</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$0.49</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$0.49</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Transmission</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Summer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$3.64</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$3.64</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Winter</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$2.44</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$2.44</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Customer Charge ($/Meter-Mo.)</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$16.00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$16.00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For Both W and X Rates</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Meter Charge (per meter per month)</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Rate W</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Rate X</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Installation Charge</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One-Time Charge Per Meter of</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$443.00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$443.00</w:t>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Processing Charge</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0" w:hRule="atLeast"/>
        </w:trPr>
        <w:tc>
          <w:tcPr>
            <w:tcW w:w="3989"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One-Time Charge Per Meter of</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$87.00</w:t>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872" w:type="dxa"/>
            <w:gridSpan w:val="2"/>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$87.00</w:t>
            </w:r>
          </w:p>
        </w:tc>
      </w:tr>
    </w:tbl>
    <w:p>
      <w:pPr>
        <w:sectPr>
          <w:footerReference w:type="default" r:id="rId24"/>
          <w:footerReference w:type="first" r:id="rId25"/>
          <w:footnotePr>
            <w:numFmt w:val="decimal"/>
          </w:footnotePr>
          <w:type w:val="nextPage"/>
          <w:pgSz w:w="12240" w:h="15840"/>
          <w:pgMar w:left="1728" w:right="1584" w:gutter="0" w:header="0" w:top="1296" w:footer="720" w:bottom="1440"/>
          <w:lnNumType w:countBy="1" w:restart="newPage" w:distance="283"/>
          <w:pgNumType w:start="10" w:fmt="decimal"/>
          <w:formProt w:val="false"/>
          <w:textDirection w:val="lrTb"/>
          <w:docGrid w:type="default" w:linePitch="360" w:charSpace="0"/>
        </w:sectPr>
      </w:pPr>
    </w:p>
    <w:p>
      <w:pPr>
        <w:pStyle w:val="Heading"/>
        <w:rPr>
          <w:sz w:val="28"/>
          <w:u w:val="single"/>
        </w:rPr>
      </w:pPr>
      <w:r>
        <w:rPr>
          <w:sz w:val="28"/>
          <w:u w:val="single"/>
        </w:rPr>
        <w:t>CHAPTER 8</w:t>
      </w:r>
    </w:p>
    <w:p>
      <w:pPr>
        <w:pStyle w:val="Normal"/>
        <w:jc w:val="center"/>
        <w:rPr>
          <w:b/>
          <w:sz w:val="28"/>
          <w:u w:val="single"/>
        </w:rPr>
      </w:pPr>
      <w:r>
        <w:rPr>
          <w:b/>
          <w:sz w:val="28"/>
          <w:u w:val="single"/>
        </w:rPr>
      </w:r>
    </w:p>
    <w:p>
      <w:pPr>
        <w:pStyle w:val="Heading"/>
        <w:rPr>
          <w:sz w:val="28"/>
          <w:u w:val="single"/>
        </w:rPr>
      </w:pPr>
      <w:r>
        <w:rPr>
          <w:sz w:val="28"/>
          <w:u w:val="single"/>
        </w:rPr>
        <w:t>AGRICULTURAL RATE DESIGN</w:t>
      </w:r>
    </w:p>
    <w:p>
      <w:pPr>
        <w:pStyle w:val="Heading"/>
        <w:rPr>
          <w:sz w:val="28"/>
          <w:u w:val="single"/>
        </w:rPr>
      </w:pPr>
      <w:r>
        <w:rPr>
          <w:sz w:val="28"/>
          <w:u w:val="single"/>
        </w:rPr>
      </w:r>
    </w:p>
    <w:p>
      <w:pPr>
        <w:pStyle w:val="Normal"/>
        <w:jc w:val="center"/>
        <w:rPr>
          <w:b/>
        </w:rPr>
      </w:pPr>
      <w:r>
        <w:rPr>
          <w:b/>
        </w:rPr>
        <w:t>Witness:  Christopher J. Blunt</w:t>
      </w:r>
    </w:p>
    <w:p>
      <w:pPr>
        <w:pStyle w:val="Normal"/>
        <w:jc w:val="center"/>
        <w:rPr>
          <w:b/>
        </w:rPr>
      </w:pPr>
      <w:r>
        <w:rPr>
          <w:b/>
        </w:rPr>
      </w:r>
    </w:p>
    <w:p>
      <w:pPr>
        <w:pStyle w:val="Normal"/>
        <w:spacing w:lineRule="auto" w:line="360"/>
        <w:rPr>
          <w:b/>
        </w:rPr>
      </w:pPr>
      <w:r>
        <w:rPr>
          <w:b/>
        </w:rPr>
        <w:t>8.1</w:t>
        <w:tab/>
      </w:r>
      <w:r>
        <w:rPr>
          <w:b/>
          <w:u w:val="single"/>
        </w:rPr>
        <w:t>Introduction and Overview</w:t>
      </w:r>
    </w:p>
    <w:p>
      <w:pPr>
        <w:pStyle w:val="PlainText"/>
        <w:numPr>
          <w:ilvl w:val="0"/>
          <w:numId w:val="0"/>
        </w:numPr>
        <w:spacing w:lineRule="auto" w:line="360"/>
        <w:ind w:firstLine="720" w:start="0" w:end="0"/>
        <w:rPr/>
      </w:pPr>
      <w:r>
        <w:rPr>
          <w:rFonts w:cs="Times New Roman" w:ascii="Times New Roman" w:hAnsi="Times New Roman"/>
          <w:sz w:val="24"/>
        </w:rPr>
        <w:t>This Chapter presents ORA’s analysis and a recommendation associated with Phase 2 of PG&amp;E’s 1999 GRC as it relates to post-freeze agricultural distribution rate design.  The Commission has expressed concern over PG&amp;E’s agricultural rates in its decisions</w:t>
      </w:r>
      <w:r>
        <w:rPr>
          <w:rStyle w:val="FootnoteCharacters"/>
          <w:rStyle w:val="FootnoteReference"/>
          <w:rFonts w:cs="Times New Roman" w:ascii="Times New Roman" w:hAnsi="Times New Roman"/>
        </w:rPr>
        <w:footnoteReference w:id="52"/>
      </w:r>
      <w:r>
        <w:rPr>
          <w:rFonts w:cs="Times New Roman" w:ascii="Times New Roman" w:hAnsi="Times New Roman"/>
          <w:sz w:val="24"/>
        </w:rPr>
        <w:t xml:space="preserve"> associated with PG&amp;E’s 1990, 1993 and 1996 GRC’s. </w:t>
      </w:r>
      <w:r>
        <w:rPr>
          <w:rFonts w:cs="Times New Roman" w:ascii="Times New Roman" w:hAnsi="Times New Roman"/>
        </w:rPr>
        <w:t xml:space="preserve"> </w:t>
      </w:r>
      <w:r>
        <w:rPr>
          <w:rFonts w:cs="Times New Roman" w:ascii="Times New Roman" w:hAnsi="Times New Roman"/>
          <w:sz w:val="24"/>
        </w:rPr>
        <w:t>Conclusion of Law (“COL”) 10 In D.97-03-017, dated March 7, 1997, states:</w:t>
      </w:r>
    </w:p>
    <w:p>
      <w:pPr>
        <w:pStyle w:val="PlainText"/>
        <w:numPr>
          <w:ilvl w:val="0"/>
          <w:numId w:val="0"/>
        </w:numPr>
        <w:ind w:firstLine="720" w:start="720" w:end="2160"/>
        <w:rPr>
          <w:rFonts w:ascii="Times New Roman" w:hAnsi="Times New Roman" w:cs="Times New Roman"/>
          <w:sz w:val="24"/>
        </w:rPr>
      </w:pPr>
      <w:r>
        <w:rPr>
          <w:rFonts w:cs="Times New Roman" w:ascii="Times New Roman" w:hAnsi="Times New Roman"/>
          <w:sz w:val="24"/>
        </w:rPr>
        <w:t xml:space="preserve">It should be noted that if the new marginal costs adopted for the limited purpose here were used for revenue allocation purposes, PG&amp;E’s agricultural customers would experience a 54 percent increase in their EPMC targets.  These EPMC targets are well in excess of those for other agricultural customers in this state.  PG&amp;E should investigate the causes for this dramatic increase and explore in its next General Rate Case alternative methods of computing marginal costs and revenue allocation that results in agricultural EPMC targets more in line with those of agricultural customers served by other California utilities.  </w:t>
      </w:r>
    </w:p>
    <w:p>
      <w:pPr>
        <w:pStyle w:val="PlainText"/>
        <w:numPr>
          <w:ilvl w:val="0"/>
          <w:numId w:val="0"/>
        </w:numPr>
        <w:ind w:firstLine="720" w:start="720" w:end="2160"/>
        <w:rPr>
          <w:rFonts w:ascii="Times New Roman" w:hAnsi="Times New Roman" w:cs="Times New Roman"/>
          <w:sz w:val="24"/>
        </w:rPr>
      </w:pPr>
      <w:r>
        <w:rPr>
          <w:rFonts w:cs="Times New Roman" w:ascii="Times New Roman" w:hAnsi="Times New Roman"/>
          <w:sz w:val="24"/>
        </w:rPr>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In its filing PG&amp;E proposes to consolidate their agricultural rate schedules, redefine the agricultural customer class, and change the distribution rate design for the new redefined agricultural customer class.  ORA has reviewed and analyzed PG&amp;E’s proposal and concludes that it does not meet the Commission’s objectives for agricultural customers.</w:t>
      </w:r>
    </w:p>
    <w:p>
      <w:pPr>
        <w:pStyle w:val="PlainText"/>
        <w:numPr>
          <w:ilvl w:val="0"/>
          <w:numId w:val="0"/>
        </w:numPr>
        <w:spacing w:lineRule="auto" w:line="360"/>
        <w:ind w:firstLine="720" w:start="0" w:end="0"/>
        <w:rPr/>
      </w:pPr>
      <w:r>
        <w:rPr>
          <w:rFonts w:cs="Times New Roman" w:ascii="Times New Roman" w:hAnsi="Times New Roman"/>
          <w:sz w:val="24"/>
        </w:rPr>
        <w:t>PG&amp;E’s proposal provides no balance between service and costs.  Neither does PG&amp;E’s filing provide an actual method of computing marginal costs and revenue allocation that results in agricultural EPMC targets more in line with those of agricultural customers served by other California utilities.</w:t>
      </w:r>
      <w:r>
        <w:rPr>
          <w:rStyle w:val="FootnoteCharacters"/>
          <w:rStyle w:val="FootnoteReference"/>
          <w:rFonts w:cs="Times New Roman" w:ascii="Times New Roman" w:hAnsi="Times New Roman"/>
          <w:sz w:val="24"/>
        </w:rPr>
        <w:footnoteReference w:id="53"/>
      </w:r>
      <w:r>
        <w:rPr>
          <w:rFonts w:cs="Times New Roman" w:ascii="Times New Roman" w:hAnsi="Times New Roman"/>
          <w:sz w:val="24"/>
        </w:rPr>
        <w:t xml:space="preserve">  PG&amp;E’s solution to the problem of high EPMC targets is to simply eliminate their Small and Medium agricultural classes and consolidate them into the Small and Medium commercial classes.  </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Based on its review of PG&amp;E’s proposal, ORA concludes that PG&amp;E’s Small and Medium agriculture customers will benefit from consolidation at the expense of PG&amp;E’s Small and Medium commercial customers.  Consolidation of Small and Medium agricultural customers with Small and Medium commercial customers’ tantamount to a cross-subsidization of Small and Medium agricultural customers by Small and Medium commercial customers.  The following sections discuss PG&amp;E’s agricultural cost study, class consolidation, and rate design.</w:t>
      </w:r>
    </w:p>
    <w:p>
      <w:pPr>
        <w:pStyle w:val="PlainText"/>
        <w:spacing w:lineRule="auto" w:line="360"/>
        <w:rPr/>
      </w:pPr>
      <w:r>
        <w:rPr>
          <w:rFonts w:cs="Times New Roman" w:ascii="Times New Roman" w:hAnsi="Times New Roman"/>
          <w:b/>
          <w:sz w:val="24"/>
        </w:rPr>
        <w:t>8.2</w:t>
        <w:tab/>
      </w:r>
      <w:r>
        <w:rPr>
          <w:rFonts w:cs="Times New Roman" w:ascii="Times New Roman" w:hAnsi="Times New Roman"/>
          <w:b/>
          <w:sz w:val="24"/>
          <w:u w:val="single"/>
        </w:rPr>
        <w:t>Agricultural Cost Study</w:t>
      </w:r>
    </w:p>
    <w:p>
      <w:pPr>
        <w:pStyle w:val="PlainText"/>
        <w:spacing w:lineRule="auto" w:line="360"/>
        <w:ind w:firstLine="720" w:end="0"/>
        <w:rPr/>
      </w:pPr>
      <w:r>
        <w:rPr>
          <w:rFonts w:cs="Times New Roman" w:ascii="Times New Roman" w:hAnsi="Times New Roman"/>
          <w:sz w:val="24"/>
        </w:rPr>
        <w:t>As stated above, in COL 10 of D.97-03-017, the Commission ordered PG&amp;E to study the reasons for the dramatic rise in agricultural customers’ EPMC targets when compared to those for other agricultural customers in California.</w:t>
      </w:r>
      <w:r>
        <w:rPr>
          <w:rStyle w:val="FootnoteCharacters"/>
          <w:rStyle w:val="FootnoteReference"/>
          <w:rFonts w:cs="Times New Roman" w:ascii="Times New Roman" w:hAnsi="Times New Roman"/>
          <w:sz w:val="24"/>
        </w:rPr>
        <w:footnoteReference w:id="54"/>
      </w:r>
      <w:r>
        <w:rPr>
          <w:rFonts w:cs="Times New Roman" w:ascii="Times New Roman" w:hAnsi="Times New Roman"/>
          <w:sz w:val="24"/>
        </w:rPr>
        <w:t xml:space="preserve">  The Commission also ordered PG&amp;E to include, in this GRC, “alternative techniques of computing marginal costs and revenue allocation that results in agricultural EPMC targets more in line with those of agricultural customers served by other California utilities</w:t>
      </w:r>
      <w:r>
        <w:rPr>
          <w:rStyle w:val="FootnoteCharacters"/>
          <w:rStyle w:val="FootnoteReference"/>
          <w:rFonts w:cs="Times New Roman" w:ascii="Times New Roman" w:hAnsi="Times New Roman"/>
          <w:sz w:val="24"/>
        </w:rPr>
        <w:footnoteReference w:id="55"/>
      </w:r>
      <w:r>
        <w:rPr>
          <w:rFonts w:cs="Times New Roman" w:ascii="Times New Roman" w:hAnsi="Times New Roman"/>
          <w:sz w:val="24"/>
        </w:rPr>
        <w:t>.”  According to PG&amp;E’s agricultural cost study the one major reason</w:t>
      </w:r>
      <w:r>
        <w:rPr>
          <w:rStyle w:val="FootnoteCharacters"/>
          <w:rStyle w:val="FootnoteReference"/>
          <w:rFonts w:cs="Times New Roman" w:ascii="Times New Roman" w:hAnsi="Times New Roman"/>
          <w:sz w:val="24"/>
        </w:rPr>
        <w:footnoteReference w:id="56"/>
      </w:r>
      <w:r>
        <w:rPr>
          <w:rFonts w:cs="Times New Roman" w:ascii="Times New Roman" w:hAnsi="Times New Roman"/>
          <w:sz w:val="24"/>
        </w:rPr>
        <w:t xml:space="preserve"> its agricultural EPMC targets are higher than those of SCE and SDG&amp;E’s is because PG&amp;E’s capacity costs per kWh are sixty-nine and thirty-eight percent lower, respectively, than SCE and SDG&amp;E.  This is due to the customer costs dominating revenue allocation.  PG&amp;E also states that its agricultural class’ EPMC targets increased fifty-four percent in its 1996 GRC because the adopted marginal costs were “greater than the proposed marginal costs.”</w:t>
      </w:r>
      <w:r>
        <w:rPr>
          <w:rStyle w:val="FootnoteCharacters"/>
          <w:rStyle w:val="FootnoteReference"/>
          <w:rFonts w:cs="Times New Roman" w:ascii="Times New Roman" w:hAnsi="Times New Roman"/>
          <w:sz w:val="24"/>
        </w:rPr>
        <w:footnoteReference w:id="57"/>
      </w:r>
      <w:r>
        <w:rPr>
          <w:rFonts w:cs="Times New Roman" w:ascii="Times New Roman" w:hAnsi="Times New Roman"/>
          <w:sz w:val="24"/>
        </w:rPr>
        <w:t xml:space="preserve">  </w:t>
      </w:r>
    </w:p>
    <w:p>
      <w:pPr>
        <w:pStyle w:val="PlainText"/>
        <w:spacing w:lineRule="auto" w:line="360"/>
        <w:ind w:hanging="720" w:start="720" w:end="0"/>
        <w:rPr/>
      </w:pPr>
      <w:r>
        <w:rPr>
          <w:rFonts w:cs="Times New Roman" w:ascii="Times New Roman" w:hAnsi="Times New Roman"/>
          <w:sz w:val="24"/>
        </w:rPr>
        <w:t>8.2.1</w:t>
        <w:tab/>
      </w:r>
      <w:r>
        <w:rPr>
          <w:rFonts w:cs="Times New Roman" w:ascii="Times New Roman" w:hAnsi="Times New Roman"/>
          <w:sz w:val="24"/>
          <w:u w:val="single"/>
        </w:rPr>
        <w:t>PG&amp;E Claims that D.97-03-017 Caused PG&amp;E’s Agricultural EPMC Targets to Increase fifty-four Percent</w:t>
      </w:r>
    </w:p>
    <w:p>
      <w:pPr>
        <w:pStyle w:val="PlainText"/>
        <w:spacing w:lineRule="auto" w:line="360"/>
        <w:ind w:firstLine="720" w:end="0"/>
        <w:rPr>
          <w:rFonts w:ascii="Times New Roman" w:hAnsi="Times New Roman" w:cs="Times New Roman"/>
          <w:sz w:val="24"/>
        </w:rPr>
      </w:pPr>
      <w:r>
        <w:rPr>
          <w:rFonts w:cs="Times New Roman" w:ascii="Times New Roman" w:hAnsi="Times New Roman"/>
          <w:sz w:val="24"/>
        </w:rPr>
        <w:t>PG&amp;E believes that if the Commission would have adopted its 1996 proposed agricultural EPMC targets, and not those proposed by ORA</w:t>
      </w:r>
      <w:r>
        <w:rPr>
          <w:rStyle w:val="FootnoteCharacters"/>
          <w:rStyle w:val="FootnoteReference"/>
          <w:rFonts w:cs="Times New Roman" w:ascii="Times New Roman" w:hAnsi="Times New Roman"/>
          <w:sz w:val="24"/>
        </w:rPr>
        <w:footnoteReference w:id="58"/>
      </w:r>
      <w:r>
        <w:rPr>
          <w:rFonts w:cs="Times New Roman" w:ascii="Times New Roman" w:hAnsi="Times New Roman"/>
          <w:sz w:val="24"/>
        </w:rPr>
        <w:t>, there would not have been a fifty-four percent increase from its 1996 average agricultural rate.  Specifically, PG&amp;E claims that by using the adopted methodology from D.97-03-017 its “marginal transmission and distribution capacity costs were over 100 percent higher”.</w:t>
      </w:r>
      <w:r>
        <w:rPr>
          <w:rStyle w:val="FootnoteCharacters"/>
          <w:rStyle w:val="FootnoteReference"/>
          <w:rFonts w:cs="Times New Roman" w:ascii="Times New Roman" w:hAnsi="Times New Roman"/>
          <w:sz w:val="24"/>
        </w:rPr>
        <w:footnoteReference w:id="59"/>
      </w:r>
      <w:r>
        <w:rPr>
          <w:rFonts w:cs="Times New Roman" w:ascii="Times New Roman" w:hAnsi="Times New Roman"/>
          <w:sz w:val="24"/>
        </w:rPr>
        <w:t xml:space="preserve">  PG&amp;E states that its agricultural classes have a lower load factor than SCE and SDG&amp;E over which to spread the marginal capacity cost revenues, therefore, a less efficient use of fixed capacity.</w:t>
      </w:r>
      <w:r>
        <w:rPr>
          <w:rStyle w:val="FootnoteCharacters"/>
          <w:rStyle w:val="FootnoteReference"/>
          <w:rFonts w:cs="Times New Roman" w:ascii="Times New Roman" w:hAnsi="Times New Roman"/>
          <w:sz w:val="24"/>
        </w:rPr>
        <w:footnoteReference w:id="60"/>
      </w:r>
    </w:p>
    <w:p>
      <w:pPr>
        <w:pStyle w:val="PlainText"/>
        <w:numPr>
          <w:ilvl w:val="1"/>
          <w:numId w:val="23"/>
        </w:numPr>
        <w:spacing w:lineRule="auto" w:line="360"/>
        <w:rPr>
          <w:rFonts w:ascii="Times New Roman" w:hAnsi="Times New Roman" w:cs="Times New Roman"/>
          <w:b/>
          <w:sz w:val="24"/>
          <w:u w:val="single"/>
        </w:rPr>
      </w:pPr>
      <w:r>
        <w:rPr>
          <w:rFonts w:cs="Times New Roman" w:ascii="Times New Roman" w:hAnsi="Times New Roman"/>
          <w:b/>
          <w:sz w:val="24"/>
          <w:u w:val="single"/>
        </w:rPr>
        <w:t>Agricultural Class Consolidation</w:t>
      </w:r>
    </w:p>
    <w:p>
      <w:pPr>
        <w:pStyle w:val="BodyTextIndent"/>
        <w:spacing w:before="0" w:after="0"/>
        <w:rPr/>
      </w:pPr>
      <w:r>
        <w:rPr/>
        <w:t xml:space="preserve">One of PG&amp;E’s major proposals for revenue allocation and rate design is class consolidation.  This proposal has two significant elements.  First, PG&amp;E would redefine various customer classes by eliminating and consolidating certain rate schedules within the current customer classes, or intra-class consolidation.  The second is consolidation of Small and Medium agricultural classes into Small and Medium L&amp;P, or inter-class consolidation. </w:t>
      </w:r>
    </w:p>
    <w:p>
      <w:pPr>
        <w:pStyle w:val="Normal"/>
        <w:spacing w:lineRule="auto" w:line="360"/>
        <w:ind w:firstLine="720" w:end="0"/>
        <w:rPr/>
      </w:pPr>
      <w:r>
        <w:rPr>
          <w:lang w:eastAsia="en-US"/>
        </w:rPr>
        <w:t xml:space="preserve">ORA considers PG&amp;E’s consolidation plan for Small and Medium L&amp;P and Small and Medium agriculture customer classes as anti-competition because it, among other things, reduces customer choices.  </w:t>
      </w:r>
      <w:r>
        <w:rPr/>
        <w:t xml:space="preserve">ORA opposes inter-class consolidation in its entirety, and various aspects of intra-class consolidation.  Table 4-2 summarizes PG&amp;E and ORA’s current and proposed class schedules and definitions. </w:t>
      </w:r>
    </w:p>
    <w:p>
      <w:pPr>
        <w:pStyle w:val="PlainText"/>
        <w:numPr>
          <w:ilvl w:val="0"/>
          <w:numId w:val="0"/>
        </w:numPr>
        <w:spacing w:lineRule="auto" w:line="360"/>
        <w:ind w:hanging="720" w:start="720" w:end="0"/>
        <w:rPr>
          <w:rFonts w:ascii="Times New Roman" w:hAnsi="Times New Roman" w:cs="Times New Roman"/>
          <w:sz w:val="24"/>
        </w:rPr>
      </w:pPr>
      <w:r>
        <w:rPr>
          <w:rFonts w:cs="Times New Roman" w:ascii="Times New Roman" w:hAnsi="Times New Roman"/>
          <w:sz w:val="24"/>
        </w:rPr>
        <w:t>8.3.1</w:t>
        <w:tab/>
      </w:r>
      <w:r>
        <w:rPr>
          <w:rFonts w:cs="Times New Roman" w:ascii="Times New Roman" w:hAnsi="Times New Roman"/>
          <w:sz w:val="24"/>
          <w:u w:val="single"/>
        </w:rPr>
        <w:t xml:space="preserve">Lower Loads and Lower Bills Could be Achieved Through Higher Use of Time-of-Use Meters </w:t>
      </w:r>
    </w:p>
    <w:p>
      <w:pPr>
        <w:pStyle w:val="BodyTextIndent"/>
        <w:spacing w:before="0" w:after="0"/>
        <w:rPr/>
      </w:pPr>
      <w:r>
        <w:rPr/>
        <w:t xml:space="preserve">The original intent of TOU meters was to encourage customers to reduce load during peak usage.  </w:t>
      </w:r>
      <w:r>
        <w:rPr>
          <w:lang w:eastAsia="en-US"/>
        </w:rPr>
        <w:t>ORA believe that the long-term goal of the TOU distribution service rate options should be to increase customer price awareness by sending customers proper price signals, which should improve market efficiency.  The goal of proper price signals is to increase the customer’s ability to respond to market signals serving to foster greater market efficiency, the expectation being that greater efficiencies would serve to prompt lower overall market prices.  Successful TOU distribution service rate options should reduce the short-term need for new distributed and/or generation facilities because system peak demand would go down as customers respond to TOU price signals.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ORA believes that the use of TOU meters can reduced bills, and therefore, everything else equal, reduce constrains and loads on the system.  PG&amp;E’s proposal to consolidate the Small and Medium agricultural and commercial classes reduces, and in some cases eliminates, the flow of necessary information to Small and Medium agricultural customers.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r>
    </w:p>
    <w:p>
      <w:pPr>
        <w:pStyle w:val="Normal"/>
        <w:spacing w:lineRule="auto" w:line="360"/>
        <w:rPr/>
      </w:pPr>
      <w:r>
        <w:rPr>
          <w:lang w:eastAsia="en-US"/>
        </w:rPr>
        <w:t>8.3.2</w:t>
        <w:tab/>
      </w:r>
      <w:r>
        <w:rPr>
          <w:u w:val="single"/>
          <w:lang w:eastAsia="en-US"/>
        </w:rPr>
        <w:t>New Time-of-Use Options</w:t>
      </w:r>
    </w:p>
    <w:p>
      <w:pPr>
        <w:pStyle w:val="Normal"/>
        <w:spacing w:lineRule="auto" w:line="360"/>
        <w:ind w:firstLine="720" w:end="0"/>
        <w:rPr>
          <w:lang w:eastAsia="en-US"/>
        </w:rPr>
      </w:pPr>
      <w:r>
        <w:rPr>
          <w:lang w:eastAsia="en-US"/>
        </w:rPr>
        <w:t>PG&amp;E’s proposed class consolidation of Small and Medium agricultural and commercial classes provide for some TOU options.  The new Small L&amp;P class who continue to apply to non-demand-metered accounts with maximum demand below 500 kW, while the new Medium L&amp;P agricultural customer class will continue to apply to demand-metered accounts with maximum demand below 500 kW.  TOU service will continue to be voluntary for the new Small and Medium L&amp;P accounts.  A Voluntary HPO for the generation rate will continue to be available to all L&amp;P accounts.  As shown on Table No. 4-2, PG&amp;E proposes to eliminate some thirty-six Schedules within the proposed inter-class consolidation of Small and Medium agricultural and commercial classes.</w:t>
      </w:r>
    </w:p>
    <w:p>
      <w:pPr>
        <w:pStyle w:val="Header"/>
        <w:tabs>
          <w:tab w:val="clear" w:pos="4320"/>
          <w:tab w:val="clear" w:pos="8640"/>
        </w:tabs>
        <w:spacing w:lineRule="auto" w:line="360"/>
        <w:rPr>
          <w:lang w:eastAsia="en-US"/>
        </w:rPr>
      </w:pPr>
      <w:r>
        <w:rPr>
          <w:lang w:eastAsia="en-US"/>
        </w:rPr>
        <w:t>8.3.3</w:t>
        <w:tab/>
      </w:r>
      <w:r>
        <w:rPr>
          <w:u w:val="single"/>
          <w:lang w:eastAsia="en-US"/>
        </w:rPr>
        <w:t>PG&amp;E’s Consolidation Shifts Marginal Customer Costs</w:t>
      </w:r>
    </w:p>
    <w:p>
      <w:pPr>
        <w:pStyle w:val="Normal"/>
        <w:spacing w:lineRule="auto" w:line="360"/>
        <w:ind w:firstLine="720" w:end="0"/>
        <w:rPr>
          <w:lang w:eastAsia="en-US"/>
        </w:rPr>
      </w:pPr>
      <w:r>
        <w:rPr>
          <w:lang w:eastAsia="en-US"/>
        </w:rPr>
        <w:t>Consolidating Small agricultural with Small L&amp;P will shift the agriculture class’s marginal customer cost to Small L&amp;P class’s marginal customer cost.  PG&amp;E’s request simply reduces the overall marginal cost rates for Small agricultural customers at the expense of Small L&amp;P customers.</w:t>
      </w:r>
    </w:p>
    <w:p>
      <w:pPr>
        <w:pStyle w:val="Normal"/>
        <w:spacing w:lineRule="auto" w:line="360"/>
        <w:ind w:firstLine="720" w:end="0"/>
        <w:rPr>
          <w:lang w:eastAsia="en-US"/>
        </w:rPr>
      </w:pPr>
      <w:r>
        <w:rPr>
          <w:lang w:eastAsia="en-US"/>
        </w:rPr>
        <w:t>Another way to reduce the overall marginal customer costs is to allow Small agricultural customers to aggregate their individual pump meters to increase the load factor, or the size of their energy usage.  PG&amp;E should encourage customers to take advantage of the flexible TOU rate options, which should reduce their overall bills.</w:t>
      </w:r>
    </w:p>
    <w:p>
      <w:pPr>
        <w:pStyle w:val="Header"/>
        <w:tabs>
          <w:tab w:val="clear" w:pos="4320"/>
          <w:tab w:val="clear" w:pos="8640"/>
        </w:tabs>
        <w:spacing w:lineRule="auto" w:line="360"/>
        <w:rPr>
          <w:lang w:eastAsia="en-US"/>
        </w:rPr>
      </w:pPr>
      <w:r>
        <w:rPr>
          <w:lang w:eastAsia="en-US"/>
        </w:rPr>
        <w:t>8.3.4</w:t>
        <w:tab/>
      </w:r>
      <w:r>
        <w:rPr>
          <w:u w:val="single"/>
          <w:lang w:eastAsia="en-US"/>
        </w:rPr>
        <w:t>Discontinued Charges and Options</w:t>
      </w:r>
    </w:p>
    <w:p>
      <w:pPr>
        <w:pStyle w:val="BodyTextIndent"/>
        <w:spacing w:before="0" w:after="0"/>
        <w:rPr>
          <w:lang w:eastAsia="en-US"/>
        </w:rPr>
      </w:pPr>
      <w:r>
        <w:rPr>
          <w:lang w:eastAsia="en-US"/>
        </w:rPr>
        <w:t>Because PG&amp;E’s new inter-class consolidation proposal does not include a ratcheted demand charge component PG&amp;E proposes to eliminate the demand charge limiter associated with agricultural schedule series B and E and the drought relief options associated with agricultural schedule series B, C, E, and F.  PG&amp;E also recommends closing the DAP option and the GAP option, which expire on December 31, 2001.  ORA agrees with PG&amp;E’s proposal to discontinue the DAP option and the GAP options on December 31, 2001.  However, ORA does not agree with PG&amp;E’s consolidation proposal of its agricultural and commercial Small and Medium classes, therefore, does not support PG&amp;E proposal to eliminate the demand charge limiter associated with agricultural schedule series B and E and the drought relief options associated with agricultural schedule series B, C, E, and F.</w:t>
      </w:r>
    </w:p>
    <w:p>
      <w:pPr>
        <w:pStyle w:val="PlainText"/>
        <w:spacing w:lineRule="auto" w:line="360"/>
        <w:rPr>
          <w:rFonts w:ascii="Times New Roman" w:hAnsi="Times New Roman" w:cs="Times New Roman"/>
          <w:sz w:val="24"/>
        </w:rPr>
      </w:pPr>
      <w:r>
        <w:rPr>
          <w:rFonts w:cs="Times New Roman" w:ascii="Times New Roman" w:hAnsi="Times New Roman"/>
          <w:sz w:val="24"/>
        </w:rPr>
        <w:t>8.3.5</w:t>
        <w:tab/>
      </w:r>
      <w:r>
        <w:rPr>
          <w:rFonts w:cs="Times New Roman" w:ascii="Times New Roman" w:hAnsi="Times New Roman"/>
          <w:sz w:val="24"/>
          <w:u w:val="single"/>
        </w:rPr>
        <w:t>Rates Should Reflect the Cost of Service</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Inter-class consolidation is merely a cross-subsidization of the Small agricultural customer classes by the Small L&amp;P customer classes.  Similarly, inter-class consolidation is a cross-subsidization of Medium L&amp;P customer classes to the Medium agricultural customer classes.  This cross-subsidization is in direct conflict with the principle that “similarly situated groups of customers should pay rates based solely on their own usage characteristics and cost of service”.</w:t>
      </w:r>
      <w:r>
        <w:rPr>
          <w:rStyle w:val="FootnoteCharacters"/>
          <w:rStyle w:val="FootnoteReference"/>
          <w:rFonts w:cs="Times New Roman" w:ascii="Times New Roman" w:hAnsi="Times New Roman"/>
          <w:sz w:val="24"/>
        </w:rPr>
        <w:footnoteReference w:id="61"/>
      </w:r>
    </w:p>
    <w:p>
      <w:pPr>
        <w:pStyle w:val="PlainText"/>
        <w:numPr>
          <w:ilvl w:val="0"/>
          <w:numId w:val="0"/>
        </w:numPr>
        <w:spacing w:lineRule="auto" w:line="360"/>
        <w:ind w:firstLine="720" w:start="0" w:end="0"/>
        <w:rPr/>
      </w:pPr>
      <w:r>
        <w:rPr>
          <w:rFonts w:cs="Times New Roman" w:ascii="Times New Roman" w:hAnsi="Times New Roman"/>
          <w:sz w:val="24"/>
        </w:rPr>
        <w:t>One of the major reasons for PG&amp;E’s rate design proposal associated with the inter-class consolidation of the agricultural and commercial customer classes is that voltage differentials were changed from unscaled marginal cost differentials to EPMC-based voltage differentials is “to ensure that customer groups pay rates solely on their own cost of service.”</w:t>
      </w:r>
      <w:r>
        <w:rPr>
          <w:rStyle w:val="FootnoteCharacters"/>
          <w:rStyle w:val="FootnoteReference"/>
          <w:rFonts w:cs="Times New Roman" w:ascii="Times New Roman" w:hAnsi="Times New Roman"/>
          <w:sz w:val="24"/>
        </w:rPr>
        <w:footnoteReference w:id="62"/>
      </w:r>
      <w:r>
        <w:rPr>
          <w:rFonts w:cs="Times New Roman" w:ascii="Times New Roman" w:hAnsi="Times New Roman"/>
          <w:sz w:val="24"/>
        </w:rPr>
        <w:t xml:space="preserve">  ORA can not support, nor believes PG&amp;E’s inter-class consolidation proposal for the agricultural and commercial Small and Medium customer classes reflects the actual costs to serve that group of customers.</w:t>
      </w:r>
    </w:p>
    <w:p>
      <w:pPr>
        <w:pStyle w:val="PlainText"/>
        <w:spacing w:lineRule="auto" w:line="360"/>
        <w:rPr/>
      </w:pPr>
      <w:r>
        <w:rPr>
          <w:rFonts w:cs="Times New Roman" w:ascii="Times New Roman" w:hAnsi="Times New Roman"/>
          <w:sz w:val="24"/>
        </w:rPr>
        <w:t>8.3.6</w:t>
        <w:tab/>
      </w:r>
      <w:r>
        <w:rPr>
          <w:rFonts w:cs="Times New Roman" w:ascii="Times New Roman" w:hAnsi="Times New Roman"/>
          <w:sz w:val="24"/>
          <w:u w:val="single"/>
        </w:rPr>
        <w:t>Business Decisions Should be Based on Correct Price Signals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A key policy principle established in D.97-08-056 is that, “costs associated with one function will not be allocated to other functions.”  That is, unbundling utility rates and services are one of the primary means by which efficient markets may develop for utility products and services.  To the extent that prices reflect the costs of associated products and services, sellers will offer the most efficient quantity and variety of these products and services.  Buyers will then be able to make purchasing decisions that best serve their interests.  PG&amp;E’s inter-class consolidation of agricultural and commercial Small and Medium customer classes would conceal any attempt to send correct price signals to its Small and Medium agricultural customers.</w:t>
      </w:r>
    </w:p>
    <w:p>
      <w:pPr>
        <w:pStyle w:val="PlainText"/>
        <w:spacing w:lineRule="auto" w:line="360"/>
        <w:rPr>
          <w:rFonts w:ascii="Times New Roman" w:hAnsi="Times New Roman" w:cs="Times New Roman"/>
          <w:b/>
          <w:sz w:val="24"/>
        </w:rPr>
      </w:pPr>
      <w:r>
        <w:rPr>
          <w:rFonts w:cs="Times New Roman" w:ascii="Times New Roman" w:hAnsi="Times New Roman"/>
          <w:b/>
          <w:sz w:val="24"/>
        </w:rPr>
        <w:t>8.4</w:t>
        <w:tab/>
      </w:r>
      <w:r>
        <w:rPr>
          <w:rFonts w:cs="Times New Roman" w:ascii="Times New Roman" w:hAnsi="Times New Roman"/>
          <w:b/>
          <w:sz w:val="24"/>
          <w:u w:val="single"/>
        </w:rPr>
        <w:t>Proposed Agricultural Applicability Statement</w:t>
      </w:r>
    </w:p>
    <w:p>
      <w:pPr>
        <w:pStyle w:val="PlainText"/>
        <w:spacing w:lineRule="auto" w:line="360"/>
        <w:ind w:firstLine="720" w:end="0"/>
        <w:rPr>
          <w:rFonts w:ascii="Times New Roman" w:hAnsi="Times New Roman" w:cs="Times New Roman"/>
          <w:sz w:val="24"/>
        </w:rPr>
      </w:pPr>
      <w:r>
        <w:rPr>
          <w:rFonts w:cs="Times New Roman" w:ascii="Times New Roman" w:hAnsi="Times New Roman"/>
          <w:sz w:val="24"/>
        </w:rPr>
        <w:t>PG&amp;E proposes new stricter agricultural applicability criteria to prevent certain commercial customers from changing the form of their agricultural products in an attempt to qualify for agricultural rates.  With the elimination of some thirty-six schedules within the proposed inter-class consolidation of Small and Medium agricultural and commercial classes, ORA is confused as to which remaining agricultural schedules “certain commercial customers” would qualify for.  That aside, ORA has no opinion on PG&amp;E’s proposed new Agricultural Applicability Statement.</w:t>
      </w:r>
    </w:p>
    <w:p>
      <w:pPr>
        <w:pStyle w:val="PlainText"/>
        <w:spacing w:lineRule="auto" w:line="360"/>
        <w:rPr>
          <w:rFonts w:ascii="Times New Roman" w:hAnsi="Times New Roman" w:cs="Times New Roman"/>
          <w:b/>
          <w:sz w:val="24"/>
        </w:rPr>
      </w:pPr>
      <w:r>
        <w:rPr>
          <w:rFonts w:cs="Times New Roman" w:ascii="Times New Roman" w:hAnsi="Times New Roman"/>
          <w:b/>
          <w:sz w:val="24"/>
        </w:rPr>
        <w:t>8.5</w:t>
        <w:tab/>
      </w:r>
      <w:r>
        <w:rPr>
          <w:rFonts w:cs="Times New Roman" w:ascii="Times New Roman" w:hAnsi="Times New Roman"/>
          <w:b/>
          <w:sz w:val="24"/>
          <w:u w:val="single"/>
        </w:rPr>
        <w:t>Large Agricultural Rate Design</w:t>
      </w:r>
    </w:p>
    <w:p>
      <w:pPr>
        <w:pStyle w:val="PlainText"/>
        <w:spacing w:lineRule="auto" w:line="360"/>
        <w:ind w:firstLine="720" w:end="0"/>
        <w:rPr/>
      </w:pPr>
      <w:r>
        <w:rPr>
          <w:rFonts w:cs="Times New Roman" w:ascii="Times New Roman" w:hAnsi="Times New Roman"/>
          <w:sz w:val="24"/>
        </w:rPr>
        <w:t>PG&amp;E’s large agricultural class includes around 4.6 percent of PG&amp;E’s agricultural accounts, and is responsible for one-half of the sales for accounts over 35 hp.</w:t>
      </w:r>
      <w:r>
        <w:rPr>
          <w:rStyle w:val="FootnoteCharacters"/>
          <w:rStyle w:val="FootnoteReference"/>
          <w:rFonts w:cs="Times New Roman" w:ascii="Times New Roman" w:hAnsi="Times New Roman"/>
          <w:sz w:val="24"/>
        </w:rPr>
        <w:footnoteReference w:id="63"/>
      </w:r>
      <w:r>
        <w:rPr>
          <w:rFonts w:cs="Times New Roman" w:ascii="Times New Roman" w:hAnsi="Times New Roman"/>
          <w:sz w:val="24"/>
        </w:rPr>
        <w:t xml:space="preserve"> Under PG&amp;E’s proposal only large agricultural accounts with maximum demand exceeding 100 kW will remain in the agricultural class.  ORA concurs with PG&amp;E’s proposal for Large agricultural customer rate design.</w:t>
      </w:r>
    </w:p>
    <w:p>
      <w:pPr>
        <w:pStyle w:val="PlainText"/>
        <w:spacing w:lineRule="auto" w:line="360"/>
        <w:rPr>
          <w:rFonts w:ascii="Times New Roman" w:hAnsi="Times New Roman" w:cs="Times New Roman"/>
          <w:sz w:val="24"/>
        </w:rPr>
      </w:pPr>
      <w:r>
        <w:rPr>
          <w:rFonts w:cs="Times New Roman" w:ascii="Times New Roman" w:hAnsi="Times New Roman"/>
          <w:b/>
          <w:sz w:val="24"/>
        </w:rPr>
        <w:t>8.6</w:t>
        <w:tab/>
      </w:r>
      <w:r>
        <w:rPr>
          <w:rFonts w:cs="Times New Roman" w:ascii="Times New Roman" w:hAnsi="Times New Roman"/>
          <w:b/>
          <w:sz w:val="24"/>
          <w:u w:val="single"/>
        </w:rPr>
        <w:t>Agricultural Rate Design</w:t>
      </w:r>
    </w:p>
    <w:p>
      <w:pPr>
        <w:pStyle w:val="PlainText"/>
        <w:spacing w:lineRule="auto" w:line="360"/>
        <w:ind w:firstLine="720" w:end="0"/>
        <w:rPr>
          <w:rFonts w:ascii="Times New Roman" w:hAnsi="Times New Roman" w:cs="Times New Roman"/>
          <w:sz w:val="24"/>
        </w:rPr>
      </w:pPr>
      <w:r>
        <w:rPr>
          <w:rFonts w:cs="Times New Roman" w:ascii="Times New Roman" w:hAnsi="Times New Roman"/>
          <w:sz w:val="24"/>
        </w:rPr>
        <w:t>ORA considers the elimination of some thirty-six tariff schedules within the proposed inter-class consolidation of Small and Medium agricultural and commercial classes anti-competitive because it reduces customer choices.  PG&amp;E claims in its application that their Rate Design minimizes total costs, and effectively balances the trade-off between agricultural customer's high rates and the cost of financing those new lower rates.  ORA holds a somewhat different view on the issue of whether PG&amp;E's Rate Design allocates costs equitably between customer classes.  ORA believes that PG&amp;E’s Rate Design provides benefits to its Small and Medium agricultural customers, at the expense of Small and Medium commercial customers, and therefore, ORA cannot agree with PG&amp;E's methodology.  PG&amp;E’s Rate Design is inequitable to PG&amp;E's Small and Medium L&amp;P customers because those customers are responsible for 100 percent of the cost of consolidation while afforded no benefits from the subsidy.</w:t>
      </w:r>
    </w:p>
    <w:p>
      <w:pPr>
        <w:pStyle w:val="Heading1"/>
        <w:ind w:start="0" w:end="0"/>
        <w:jc w:val="start"/>
        <w:rPr>
          <w:b w:val="false"/>
        </w:rPr>
      </w:pPr>
      <w:r>
        <w:rPr>
          <w:b w:val="false"/>
        </w:rPr>
        <w:t>8.6.1</w:t>
        <w:tab/>
      </w:r>
      <w:r>
        <w:rPr>
          <w:b w:val="false"/>
          <w:u w:val="single"/>
        </w:rPr>
        <w:t>A 15 Percent Cap on Distribution Rates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 xml:space="preserve">Distribution rates account for about one-third of PG&amp;E’s total rates at an average PX price for electricity of 3 cents per Kwh.  Therefore, everything else held equal; a 15 percent cap on distribution rates equates to an overall rate cap of around 5 percent.  Consolidation does provide PG&amp;E's Small and Medium agricultural customers with a rate reduction of about 30 percent, but there is little justification for the costs of consolidation to be born by Small and Medium L&amp;P customers. </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Consolidation is a direct cross-subsidization by Small and Medium L&amp;P customers to Small and Medium agricultural customers.  The question is whether PG&amp;E’s proposal meets agricultural customers' needs at the least total cost.  If adopted by the Commission, the costs of Capping agricultural rates at 15 percent should be shared equally between all ratepayers, not just the Small and Medium L&amp;P customer classes.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Table No. 4-2 displays the twenty Small L&amp;P and Small agricultural tariff schedules PG&amp;E is consolidating into five tariff schedules.  Table No. 8-1 shows the post-freeze rate impact on Small and Medium L&amp;P and agricultural classes from consolidating and not consolidation customer classes.  Table No. 8-1 also displays the distribution rate impact on Small and Medium L&amp;P and agricultural classes from capping rates at 15 percent, and the impact of a PX clearing price of 3 cents, 6 cents, and 10 cents.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It should be noted that the projected 30 percent distribution rate reduction for Small and Medium agricultural customers from capping distribution rates at 15 percent will only materializes if the PX price for electricity averages 3 cents per Kwh.  Generally speaking, for every 1 cent above the average PX price of 3 cents per Kwh, the 30 percent distribution rate reduction from capping dwindles by one-third.  Therefore, an average PX price of 6 cents or more per Kwh would eliminate any distribution rate reduction from capping, and, everything else equal, cause rates to increase.</w:t>
      </w:r>
    </w:p>
    <w:p>
      <w:pPr>
        <w:pStyle w:val="PlainText"/>
        <w:numPr>
          <w:ilvl w:val="0"/>
          <w:numId w:val="0"/>
        </w:numPr>
        <w:spacing w:lineRule="auto" w:line="360"/>
        <w:ind w:hanging="0" w:start="0"/>
        <w:rPr/>
      </w:pPr>
      <w:r>
        <w:rPr>
          <w:rFonts w:cs="Times New Roman" w:ascii="Times New Roman" w:hAnsi="Times New Roman"/>
          <w:b/>
          <w:sz w:val="24"/>
        </w:rPr>
        <w:t>8.7</w:t>
        <w:tab/>
      </w:r>
      <w:r>
        <w:rPr>
          <w:rFonts w:cs="Times New Roman" w:ascii="Times New Roman" w:hAnsi="Times New Roman"/>
          <w:b/>
          <w:sz w:val="24"/>
          <w:u w:val="single"/>
        </w:rPr>
        <w:t>Recommendation</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ORA recommends that the total cost of subsidizing Small and Medium agricultural customers should be shared between all of PG&amp;E's customers not just Small and Medium commercial customers.  Spreading ORA’s recommended 15 percent cap for Small and Medium agricultural customers equally among all of PG&amp;E’s customers impacts customers bill by only $.001 cent per kW based on estimated annual sales.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If the Commission allows PG&amp;E to consolidate Small and Medium agricultural and commercial customer classes, there will be a cost shift to Small and Medium commercial customers from Small and Medium agricultural customers.  Under PG&amp;E’s proposal, current Small and Medium customers pay higher rates with no added benefits, while Small and Medium agriculture customers get reduced rates with no decrease in benefits.  Therefore, ORA recommends that the Commission not allow PG&amp;E to combine Small agricultural and Small commercial, or Medium agricultural and Medium commercial, which is solely at the expense of commercial customers.</w:t>
      </w:r>
    </w:p>
    <w:p>
      <w:pPr>
        <w:pStyle w:val="PlainText"/>
        <w:numPr>
          <w:ilvl w:val="0"/>
          <w:numId w:val="0"/>
        </w:numPr>
        <w:spacing w:lineRule="auto" w:line="360"/>
        <w:ind w:firstLine="720" w:start="0" w:end="0"/>
        <w:rPr>
          <w:rFonts w:ascii="Times New Roman" w:hAnsi="Times New Roman" w:cs="Times New Roman"/>
          <w:sz w:val="24"/>
        </w:rPr>
      </w:pPr>
      <w:r>
        <w:rPr>
          <w:rFonts w:cs="Times New Roman" w:ascii="Times New Roman" w:hAnsi="Times New Roman"/>
          <w:sz w:val="24"/>
        </w:rPr>
        <w:t xml:space="preserve">If adopted by the Commission, ORA’s recommendation to cap Small and Medium agricultural rates at 15 percent should be shared fairly between all customers, not just the Small and Medium commercial customer classes.  </w:t>
      </w:r>
    </w:p>
    <w:p>
      <w:pPr>
        <w:pStyle w:val="BodyTextIndent"/>
        <w:spacing w:before="0" w:after="0"/>
        <w:rPr>
          <w:lang w:eastAsia="en-US"/>
        </w:rPr>
      </w:pPr>
      <w:r>
        <w:rPr>
          <w:lang w:eastAsia="en-US"/>
        </w:rPr>
        <w:t>ORA does not agree with PG&amp;E’s consolidation proposal of its agricultural and commercial Small and Medium classes.  Nor does ORA support PG&amp;E’s proposal to eliminate the demand charge limiter associated with agricultural schedule series B and E and the drought relief options associated with agricultural schedule series B, C, E, and F.</w:t>
      </w:r>
    </w:p>
    <w:p>
      <w:pPr>
        <w:pStyle w:val="BodyTextIndent"/>
        <w:spacing w:before="0" w:after="0"/>
        <w:rPr>
          <w:lang w:eastAsia="en-US"/>
        </w:rPr>
      </w:pPr>
      <w:r>
        <w:rPr>
          <w:lang w:eastAsia="en-US"/>
        </w:rPr>
      </w:r>
    </w:p>
    <w:p>
      <w:pPr>
        <w:sectPr>
          <w:footerReference w:type="default" r:id="rId26"/>
          <w:footerReference w:type="first" r:id="rId27"/>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BodyTextIndent"/>
        <w:spacing w:before="0" w:after="0"/>
        <w:rPr>
          <w:lang w:eastAsia="en-US"/>
        </w:rPr>
      </w:pPr>
      <w:r>
        <w:rPr>
          <w:lang w:eastAsia="en-US"/>
        </w:rPr>
      </w:r>
    </w:p>
    <w:p>
      <w:pPr>
        <w:pStyle w:val="Normal"/>
        <w:spacing w:lineRule="auto" w:line="480"/>
        <w:jc w:val="center"/>
        <w:rPr/>
      </w:pPr>
      <w:r>
        <w:rPr>
          <w:b/>
          <w:caps/>
          <w:sz w:val="28"/>
        </w:rPr>
        <w:t>Chapter</w:t>
      </w:r>
      <w:r>
        <w:rPr>
          <w:b/>
          <w:sz w:val="28"/>
        </w:rPr>
        <w:t xml:space="preserve"> 9</w:t>
      </w:r>
    </w:p>
    <w:p>
      <w:pPr>
        <w:pStyle w:val="Subtitle"/>
        <w:spacing w:lineRule="auto" w:line="480"/>
        <w:rPr>
          <w:u w:val="single"/>
        </w:rPr>
      </w:pPr>
      <w:r>
        <w:rPr>
          <w:u w:val="single"/>
        </w:rPr>
        <w:t>STREET LIGHTING</w:t>
      </w:r>
    </w:p>
    <w:p>
      <w:pPr>
        <w:pStyle w:val="Heading2"/>
        <w:spacing w:lineRule="auto" w:line="480" w:before="0" w:after="0"/>
        <w:ind w:hanging="0" w:start="0"/>
        <w:rPr>
          <w:rFonts w:ascii="Times New Roman" w:hAnsi="Times New Roman" w:cs="Times New Roman"/>
        </w:rPr>
      </w:pPr>
      <w:r>
        <w:rPr>
          <w:rFonts w:cs="Times New Roman" w:ascii="Times New Roman" w:hAnsi="Times New Roman"/>
        </w:rPr>
        <w:t>Witness: Roy Evans</w:t>
      </w:r>
    </w:p>
    <w:p>
      <w:pPr>
        <w:pStyle w:val="Table"/>
        <w:rPr>
          <w:rFonts w:ascii="Times New Roman" w:hAnsi="Times New Roman" w:cs="Times New Roman"/>
        </w:rPr>
      </w:pPr>
      <w:r>
        <w:rPr>
          <w:rFonts w:cs="Times New Roman"/>
        </w:rPr>
      </w:r>
    </w:p>
    <w:p>
      <w:pPr>
        <w:pStyle w:val="Heading3"/>
        <w:numPr>
          <w:ilvl w:val="1"/>
          <w:numId w:val="14"/>
        </w:numPr>
        <w:spacing w:lineRule="auto" w:line="360"/>
        <w:rPr>
          <w:rFonts w:ascii="Times New Roman" w:hAnsi="Times New Roman" w:cs="Times New Roman"/>
          <w:u w:val="single"/>
        </w:rPr>
      </w:pPr>
      <w:r>
        <w:rPr>
          <w:rFonts w:cs="Times New Roman" w:ascii="Times New Roman" w:hAnsi="Times New Roman"/>
          <w:u w:val="single"/>
        </w:rPr>
        <w:t>Introduction and Overview</w:t>
      </w:r>
    </w:p>
    <w:p>
      <w:pPr>
        <w:pStyle w:val="Heading3"/>
        <w:spacing w:lineRule="auto" w:line="360"/>
        <w:ind w:firstLine="720" w:start="0" w:end="0"/>
        <w:rPr>
          <w:rFonts w:ascii="Times New Roman" w:hAnsi="Times New Roman" w:cs="Times New Roman"/>
          <w:b w:val="false"/>
        </w:rPr>
      </w:pPr>
      <w:r>
        <w:rPr>
          <w:rFonts w:cs="Times New Roman" w:ascii="Times New Roman" w:hAnsi="Times New Roman"/>
          <w:b w:val="false"/>
        </w:rPr>
        <w:t xml:space="preserve">This chapter discusses PG&amp;E’s post-freeze rate design proposals for Street Lighting.  This includes classes LS-1, LS-2, LS-3, and OL-1.  These classes represent utility owned </w:t>
      </w:r>
    </w:p>
    <w:p>
      <w:pPr>
        <w:pStyle w:val="Heading3"/>
        <w:spacing w:lineRule="auto" w:line="360"/>
        <w:ind w:hanging="0" w:start="0"/>
        <w:rPr>
          <w:rFonts w:ascii="Times New Roman" w:hAnsi="Times New Roman" w:cs="Times New Roman"/>
          <w:b w:val="false"/>
        </w:rPr>
      </w:pPr>
      <w:r>
        <w:rPr>
          <w:rFonts w:cs="Times New Roman" w:ascii="Times New Roman" w:hAnsi="Times New Roman"/>
          <w:b w:val="false"/>
        </w:rPr>
        <w:t>(“LS-1”), customer owned/unmetered (“LS-2”), customer owned/metered (“LS-3”), and outdoor lighting (OL-1) uses.  The LS classes are further broken down into numerous sub-classes, or rate schedules, based on component ownership and type of maintenance service provided by PG&amp;E.  Each rate schedule has its own tariff.  PG&amp;E proposes changes to the rates and tariffs of all the classes and rate schedules.  Many of the changes are minor, and ORA has no objection to most of them.  Those proposed changes ORA considers objectionable or controversial are discussed in the following sections.</w:t>
      </w:r>
    </w:p>
    <w:p>
      <w:pPr>
        <w:pStyle w:val="Normal"/>
        <w:spacing w:lineRule="auto" w:line="360"/>
        <w:ind w:firstLine="720" w:end="0"/>
        <w:rPr/>
      </w:pPr>
      <w:r>
        <w:rPr/>
        <w:t>The issues associated with PG&amp;E’s streetlight rate design are whether certain class schedules should be closed, allocation of common plant costs to the various classes and allocation of common rate base to street lighting, applicability of rules 15 &amp; 16 (service connections and line extensions) to streetlight tariffs, maximum permissible “incidental load” in (metered) Class LS-3 and (traffic control) Class TC-1, phase-in of special San Francisco streetlight rates, and the appropriate amount of customer charge for class LS-3.</w:t>
      </w:r>
    </w:p>
    <w:p>
      <w:pPr>
        <w:pStyle w:val="Normal"/>
        <w:spacing w:lineRule="auto" w:line="360"/>
        <w:rPr>
          <w:b/>
        </w:rPr>
      </w:pPr>
      <w:r>
        <w:rPr>
          <w:b/>
        </w:rPr>
        <w:t>9.2</w:t>
        <w:tab/>
      </w:r>
      <w:r>
        <w:rPr>
          <w:b/>
          <w:u w:val="single"/>
        </w:rPr>
        <w:t>Background</w:t>
      </w:r>
    </w:p>
    <w:p>
      <w:pPr>
        <w:pStyle w:val="Normal"/>
        <w:spacing w:lineRule="auto" w:line="360"/>
        <w:ind w:firstLine="720" w:end="0"/>
        <w:rPr/>
      </w:pPr>
      <w:r>
        <w:rPr/>
        <w:t>Historically, much of the initial electrical power distribution grid was initially created to bring street lighting to cities, so some of the streetlight tariffs have very deep roots.  PG&amp;E supplies electricity to more than half a million streetlights in over 15 thousand customer accounts.  About 200 thousand of the lights are both owned and operated by PG&amp;E, and most of the remainder are owned by municipal or other government agencies.  These agencies are represented in the aggregate by the California City-County Street Light Association (Cal-SLA), which is a party to this proceeding.</w:t>
      </w:r>
    </w:p>
    <w:p>
      <w:pPr>
        <w:pStyle w:val="BodyTextIndent"/>
        <w:spacing w:before="0" w:after="0"/>
        <w:rPr/>
      </w:pPr>
      <w:r>
        <w:rPr/>
        <w:t>Cal-SLA has worked with PG&amp;E for many years, establishing a mutually acceptable methodology to set streetlight rates.  However, changes agreed to in the last GRC (1996) were not implemented because AB1890 legislated that rates be frozen at the then existing rates.  Therefore, much of what is proposed in this GRC has already been accepted by Cal-SLA and would have been ordered effective by the Commission, if not for AB 1890.</w:t>
      </w:r>
    </w:p>
    <w:p>
      <w:pPr>
        <w:pStyle w:val="BodyTextIndent"/>
        <w:spacing w:before="0" w:after="0"/>
        <w:rPr/>
      </w:pPr>
      <w:r>
        <w:rPr/>
        <w:t>One of the effects of the AB 1890 mandatory rate freeze was to suspend the already agreed upon and partially implemented phase-in of some rate increases for San Francisco streetlights, which are unique in PG&amp;E’s service territory.  PG&amp;E proposes to resume the phase-in at the end of the transition period.  ORA concurs.</w:t>
      </w:r>
    </w:p>
    <w:p>
      <w:pPr>
        <w:pStyle w:val="BodyTextIndent"/>
        <w:spacing w:before="0" w:after="0"/>
        <w:ind w:hanging="0" w:end="0"/>
        <w:rPr>
          <w:b/>
        </w:rPr>
      </w:pPr>
      <w:r>
        <w:rPr>
          <w:b/>
        </w:rPr>
        <w:t>9.3</w:t>
        <w:tab/>
      </w:r>
      <w:r>
        <w:rPr>
          <w:b/>
          <w:u w:val="single"/>
        </w:rPr>
        <w:t>Proposed Class Closures</w:t>
      </w:r>
    </w:p>
    <w:p>
      <w:pPr>
        <w:pStyle w:val="BodyTextIndent"/>
        <w:spacing w:before="0" w:after="0"/>
        <w:rPr/>
      </w:pPr>
      <w:r>
        <w:rPr/>
        <w:t>PG&amp;E seeks to close rate Schedules LS-1C, LS-2B, and LS-2C to new customers, and to close the later two schedules to additional lamps on existing accounts.  The rational is that these schedules represent “mixed ownership” situations which are confusing to both utility company and customer maintenance personnel, that demand for this type of service is nonexistent or minimal and should not be encouraged, and that closure would follow historical precedent and simplify the tariffs.</w:t>
      </w:r>
    </w:p>
    <w:p>
      <w:pPr>
        <w:pStyle w:val="BodyTextIndent"/>
        <w:spacing w:before="0" w:after="0"/>
        <w:rPr/>
      </w:pPr>
      <w:r>
        <w:rPr/>
        <w:t>PG&amp;E also proposes to eliminate Schedule LS-1F.1 and merge the lamps currently in that schedule into Schedule LS-F1 since “there is no difference in price or service on these two schedules.”</w:t>
      </w:r>
    </w:p>
    <w:p>
      <w:pPr>
        <w:pStyle w:val="BodyTextIndent"/>
        <w:spacing w:before="0" w:after="0"/>
        <w:rPr/>
      </w:pPr>
      <w:r>
        <w:rPr/>
        <w:t>ORA has no objection to these schedule closures and consolidation.</w:t>
      </w:r>
    </w:p>
    <w:p>
      <w:pPr>
        <w:pStyle w:val="BodyTextIndent"/>
        <w:spacing w:before="0" w:after="0"/>
        <w:ind w:hanging="0" w:end="0"/>
        <w:rPr>
          <w:b/>
        </w:rPr>
      </w:pPr>
      <w:r>
        <w:rPr>
          <w:b/>
        </w:rPr>
        <w:t>9.4</w:t>
        <w:tab/>
      </w:r>
      <w:r>
        <w:rPr>
          <w:b/>
          <w:u w:val="single"/>
        </w:rPr>
        <w:t>Service Connections and Line Extensions - Rules 15 and 16</w:t>
      </w:r>
    </w:p>
    <w:p>
      <w:pPr>
        <w:pStyle w:val="BodyTextIndent"/>
        <w:spacing w:before="0" w:after="0"/>
        <w:rPr/>
      </w:pPr>
      <w:r>
        <w:rPr/>
        <w:t>PG&amp;E proposes to apply the electric installation provisions of Electric Rules 15 and 16 to all lighting rate schedules except LS-1, and look into making the changes required to apply these rules to LS-1 for the next GRC.  PG&amp;E requests the applicability of Rules 15 and 16 to be conditioned on three exceptions, which are:</w:t>
      </w:r>
    </w:p>
    <w:p>
      <w:pPr>
        <w:pStyle w:val="BodyTextIndent"/>
        <w:numPr>
          <w:ilvl w:val="0"/>
          <w:numId w:val="17"/>
        </w:numPr>
        <w:spacing w:before="0" w:after="0"/>
        <w:rPr/>
      </w:pPr>
      <w:r>
        <w:rPr/>
        <w:t>A non-refundable provision on allowances for streetlight facilities is added because: (a) lighting load is a consistent long term load, (b) use of streetlight service facilities is rarely used to serve other load, and (c) there are rarely new loads being attached to streetlight circuit load, whereas for other extensions, new customers with new load often attach to the circuit after it is built.</w:t>
      </w:r>
    </w:p>
    <w:p>
      <w:pPr>
        <w:pStyle w:val="BodyTextIndent"/>
        <w:numPr>
          <w:ilvl w:val="0"/>
          <w:numId w:val="17"/>
        </w:numPr>
        <w:spacing w:before="0" w:after="0"/>
        <w:rPr/>
      </w:pPr>
      <w:r>
        <w:rPr/>
        <w:t>A 50 percent discount option for streetlight facilities is not provided.  Streetlight load is consistent.  Rarely does a customer increase circuit load and with new technology loads are decreasing for traffic control.  New lighting technology may have the same impact on streetlight loads.  The lack of opportunity to generate additional revenue from these installations does not justify extending the discount option.</w:t>
      </w:r>
    </w:p>
    <w:p>
      <w:pPr>
        <w:pStyle w:val="BodyTextIndent"/>
        <w:numPr>
          <w:ilvl w:val="0"/>
          <w:numId w:val="17"/>
        </w:numPr>
        <w:spacing w:before="0" w:after="0"/>
        <w:rPr/>
      </w:pPr>
      <w:r>
        <w:rPr/>
        <w:t>A paragraph is added to the special conditions to allow the appropriate treatment of temporary lighting facilities.</w:t>
      </w:r>
    </w:p>
    <w:p>
      <w:pPr>
        <w:pStyle w:val="BodyTextIndent"/>
        <w:spacing w:before="0" w:after="0"/>
        <w:rPr/>
      </w:pPr>
      <w:r>
        <w:rPr/>
        <w:t xml:space="preserve">ORA concurs with the goal of applying Rules 15 and 16 in place of complex individual tariff provisions for each rate schedule.  ORA agrees Exceptions 1 and 2 (above) can reasonably be applied to Rate Schedule LS-2.  However, ORA recommends the Exceptions 1 and 2 </w:t>
      </w:r>
      <w:r>
        <w:rPr>
          <w:u w:val="single"/>
        </w:rPr>
        <w:t>not</w:t>
      </w:r>
      <w:r>
        <w:rPr/>
        <w:t xml:space="preserve"> be applied to Rate Schedule LS-3, because those circuits are metered, and the differing rules could give some customers a slight incentive to shift loads to a metered class.</w:t>
      </w:r>
    </w:p>
    <w:p>
      <w:pPr>
        <w:pStyle w:val="Heading3"/>
        <w:spacing w:lineRule="auto" w:line="360"/>
        <w:ind w:hanging="0" w:start="0"/>
        <w:rPr/>
      </w:pPr>
      <w:r>
        <w:rPr>
          <w:rFonts w:cs="Times New Roman" w:ascii="Times New Roman" w:hAnsi="Times New Roman"/>
          <w:lang w:eastAsia="en-US"/>
        </w:rPr>
        <w:t>9.5</w:t>
        <w:tab/>
      </w:r>
      <w:r>
        <w:rPr>
          <w:rFonts w:cs="Times New Roman" w:ascii="Times New Roman" w:hAnsi="Times New Roman"/>
          <w:u w:val="single"/>
          <w:lang w:eastAsia="en-US"/>
        </w:rPr>
        <w:t>Rate Schedule LS-3 Issues</w:t>
      </w:r>
    </w:p>
    <w:p>
      <w:pPr>
        <w:pStyle w:val="BodyTextIndent"/>
        <w:spacing w:before="0" w:after="0"/>
        <w:rPr/>
      </w:pPr>
      <w:r>
        <w:rPr/>
        <w:t>Consistent with its proposal for Small &amp; Medium L&amp;P Class Schedules A-1 and A-6, PG&amp;E proposes to increase the customer charge for Class LS-3 from $3 per meter per month to $12 per meter per month.</w:t>
      </w:r>
    </w:p>
    <w:p>
      <w:pPr>
        <w:pStyle w:val="BodyTextIndent"/>
        <w:spacing w:before="0" w:after="0"/>
        <w:rPr/>
      </w:pPr>
      <w:r>
        <w:rPr/>
        <w:t>Consistent with our recommendation that Schedule A-1 and A-6 customers with single phase service retain a customer charge of $8.10 per month (see Chapter 7), ORA recommends that the customer service charge for class LS-3 be set at $8.10 per meter per month.</w:t>
      </w:r>
    </w:p>
    <w:p>
      <w:pPr>
        <w:pStyle w:val="BodyTextIndent"/>
        <w:spacing w:before="0" w:after="0"/>
        <w:rPr/>
      </w:pPr>
      <w:r>
        <w:rPr/>
        <w:t>PG&amp;E proposes to allow a maximum 2 percent “incidental load” on circuits in classes which are metered (LS-3 and TC-1).  Cal-SLA seeks higher maximums.  ORA believes these maximums are unnecessarily low and recommends a 5 percent limit on TC-1 and a 10 percent limit on LS-3, which already has an 85 percent off peak load requirement in the tariff.</w:t>
      </w:r>
    </w:p>
    <w:p>
      <w:pPr>
        <w:pStyle w:val="BodyTextIndent"/>
        <w:spacing w:before="0" w:after="0"/>
        <w:ind w:hanging="0" w:end="0"/>
        <w:jc w:val="both"/>
        <w:rPr/>
      </w:pPr>
      <w:r>
        <w:rPr>
          <w:b/>
          <w:lang w:eastAsia="en-US"/>
        </w:rPr>
        <w:t>9.6</w:t>
        <w:tab/>
      </w:r>
      <w:r>
        <w:rPr>
          <w:b/>
          <w:u w:val="single"/>
          <w:lang w:eastAsia="en-US"/>
        </w:rPr>
        <w:t>Recommendations</w:t>
      </w:r>
    </w:p>
    <w:p>
      <w:pPr>
        <w:pStyle w:val="BodyTextIndent"/>
        <w:spacing w:before="0" w:after="0"/>
        <w:jc w:val="both"/>
        <w:rPr>
          <w:lang w:eastAsia="en-US"/>
        </w:rPr>
      </w:pPr>
      <w:r>
        <w:rPr>
          <w:lang w:eastAsia="en-US"/>
        </w:rPr>
        <w:t>ORA’s goal is a stable, low volatility tariff for PG&amp;E’s streetlight customers, especially since those customers form such a stable, low volatility, OFF PEAK load, which is very beneficial in balancing system-wide demand.  To that end, and as an incentive to migrate the customer base from non-metered to metered classes, ORA recommends that the Commission approve the tariff text changes that PG&amp;E proposes for Rate Schedule classes LS-1, LS-2, LS-3, OL-1, and TC-1, with the following exceptions:</w:t>
      </w:r>
    </w:p>
    <w:p>
      <w:pPr>
        <w:pStyle w:val="Heading3"/>
        <w:numPr>
          <w:ilvl w:val="0"/>
          <w:numId w:val="18"/>
        </w:numPr>
        <w:spacing w:lineRule="auto" w:line="360"/>
        <w:rPr>
          <w:rFonts w:ascii="Times New Roman" w:hAnsi="Times New Roman" w:cs="Times New Roman"/>
          <w:b w:val="false"/>
          <w:lang w:eastAsia="en-US"/>
        </w:rPr>
      </w:pPr>
      <w:r>
        <w:rPr>
          <w:rFonts w:cs="Times New Roman" w:ascii="Times New Roman" w:hAnsi="Times New Roman"/>
          <w:b w:val="false"/>
          <w:lang w:eastAsia="en-US"/>
        </w:rPr>
        <w:t>For LS-3, the standard Rule 15 refundable provision on allowances, together with the standard 50 percent discount option, is retained.</w:t>
      </w:r>
    </w:p>
    <w:p>
      <w:pPr>
        <w:pStyle w:val="Normal"/>
        <w:numPr>
          <w:ilvl w:val="0"/>
          <w:numId w:val="18"/>
        </w:numPr>
        <w:spacing w:lineRule="auto" w:line="360"/>
        <w:rPr/>
      </w:pPr>
      <w:r>
        <w:rPr/>
        <w:t>The “customer charge” for LS-3 is set at the same rate as for Rate Schedule A-1 single-phase circuits.  In chapter 7, ORA recommends this be $8.10 per month.</w:t>
      </w:r>
    </w:p>
    <w:p>
      <w:pPr>
        <w:pStyle w:val="Heading3"/>
        <w:numPr>
          <w:ilvl w:val="0"/>
          <w:numId w:val="18"/>
        </w:numPr>
        <w:spacing w:lineRule="auto" w:line="360"/>
        <w:rPr>
          <w:rFonts w:ascii="Times New Roman" w:hAnsi="Times New Roman" w:cs="Times New Roman"/>
          <w:b w:val="false"/>
          <w:lang w:eastAsia="en-US"/>
        </w:rPr>
      </w:pPr>
      <w:r>
        <w:rPr>
          <w:rFonts w:cs="Times New Roman" w:ascii="Times New Roman" w:hAnsi="Times New Roman"/>
          <w:b w:val="false"/>
          <w:lang w:eastAsia="en-US"/>
        </w:rPr>
        <w:t>The “incidental load” allowable for LS-3 be 10 percent, and be 5 percent for TC-1.</w:t>
      </w:r>
    </w:p>
    <w:p>
      <w:pPr>
        <w:pStyle w:val="Normal"/>
        <w:rPr>
          <w:rFonts w:ascii="Times New Roman" w:hAnsi="Times New Roman" w:cs="Times New Roman"/>
          <w:b/>
          <w:lang w:eastAsia="en-US"/>
        </w:rPr>
      </w:pPr>
      <w:r>
        <w:rPr>
          <w:rFonts w:cs="Times New Roman"/>
          <w:b/>
          <w:lang w:eastAsia="en-US"/>
        </w:rPr>
      </w:r>
    </w:p>
    <w:p>
      <w:pPr>
        <w:pStyle w:val="Heading3"/>
        <w:spacing w:lineRule="auto" w:line="360"/>
        <w:ind w:firstLine="810" w:start="0" w:end="0"/>
        <w:rPr>
          <w:b w:val="false"/>
        </w:rPr>
      </w:pPr>
      <w:r>
        <w:rPr>
          <w:rFonts w:cs="Times New Roman" w:ascii="Times New Roman" w:hAnsi="Times New Roman"/>
          <w:b w:val="false"/>
        </w:rPr>
        <w:t>ORA also recommends that the energy rate, common plant allocation, and other details contained in the over 100 pages of PG&amp;E’s streetlight workpapers submitted less than a month ago be subject to further review before approval.  We will be particularly interested in Cal-SLA’s recommendations on these issues, and welcome an opportunity to comment on them after publication.</w:t>
      </w:r>
    </w:p>
    <w:p>
      <w:pPr>
        <w:sectPr>
          <w:footerReference w:type="default" r:id="rId28"/>
          <w:footerReference w:type="first" r:id="rId29"/>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rPr>
          <w:b/>
        </w:rPr>
      </w:pPr>
      <w:r>
        <w:rPr>
          <w:b/>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t>APPENDIX A</w:t>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sectPr>
          <w:footerReference w:type="default" r:id="rId30"/>
          <w:footerReference w:type="first" r:id="rId31"/>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widowControl w:val="false"/>
        <w:tabs>
          <w:tab w:val="clear" w:pos="720"/>
          <w:tab w:val="left" w:pos="360" w:leader="none"/>
          <w:tab w:val="left" w:pos="1080" w:leader="none"/>
          <w:tab w:val="left" w:pos="6480" w:leader="none"/>
          <w:tab w:val="left" w:pos="7200" w:leader="none"/>
        </w:tabs>
        <w:jc w:val="center"/>
        <w:rPr>
          <w:b/>
        </w:rPr>
      </w:pPr>
      <w:r>
        <w:rPr>
          <w:b/>
        </w:rPr>
        <w:t>WITNESS QUALIFICATIONS</w:t>
      </w:r>
    </w:p>
    <w:p>
      <w:pPr>
        <w:pStyle w:val="Heading4"/>
        <w:tabs>
          <w:tab w:val="clear" w:pos="720"/>
          <w:tab w:val="left" w:pos="360" w:leader="none"/>
          <w:tab w:val="left" w:pos="1080" w:leader="none"/>
          <w:tab w:val="left" w:pos="6480" w:leader="none"/>
          <w:tab w:val="left" w:pos="7200" w:leader="none"/>
        </w:tabs>
        <w:spacing w:lineRule="auto" w:line="240"/>
        <w:ind w:hanging="0" w:start="0"/>
        <w:rPr/>
      </w:pPr>
      <w:r>
        <w:rPr/>
        <w:t>QUALIFICATIONS</w:t>
      </w:r>
    </w:p>
    <w:p>
      <w:pPr>
        <w:pStyle w:val="Normal"/>
        <w:widowControl w:val="false"/>
        <w:jc w:val="center"/>
        <w:rPr>
          <w:b/>
          <w:sz w:val="28"/>
        </w:rPr>
      </w:pPr>
      <w:r>
        <w:rPr>
          <w:b/>
          <w:sz w:val="28"/>
        </w:rPr>
        <w:t>OF</w:t>
      </w:r>
    </w:p>
    <w:p>
      <w:pPr>
        <w:pStyle w:val="Normal"/>
        <w:widowControl w:val="false"/>
        <w:jc w:val="center"/>
        <w:rPr>
          <w:b/>
          <w:sz w:val="28"/>
        </w:rPr>
      </w:pPr>
      <w:r>
        <w:rPr>
          <w:b/>
          <w:sz w:val="28"/>
        </w:rPr>
        <w:t>CHRISTOPHER J. BLUNT</w:t>
      </w:r>
    </w:p>
    <w:p>
      <w:pPr>
        <w:pStyle w:val="Normal"/>
        <w:widowControl w:val="false"/>
        <w:spacing w:lineRule="auto" w:line="360"/>
        <w:jc w:val="center"/>
        <w:rPr>
          <w:b/>
          <w:sz w:val="28"/>
        </w:rPr>
      </w:pPr>
      <w:r>
        <w:rPr>
          <w:b/>
          <w:sz w:val="28"/>
        </w:rPr>
      </w:r>
    </w:p>
    <w:p>
      <w:pPr>
        <w:pStyle w:val="Normal"/>
        <w:spacing w:lineRule="auto" w:line="360"/>
        <w:rPr/>
      </w:pPr>
      <w:r>
        <w:rPr>
          <w:b/>
        </w:rPr>
        <w:t>Q.1</w:t>
      </w:r>
      <w:r>
        <w:rPr/>
        <w:tab/>
        <w:t>Please state your name and business address.</w:t>
      </w:r>
    </w:p>
    <w:p>
      <w:pPr>
        <w:pStyle w:val="Normal"/>
        <w:spacing w:lineRule="auto" w:line="360"/>
        <w:ind w:hanging="720" w:start="720" w:end="0"/>
        <w:rPr/>
      </w:pPr>
      <w:r>
        <w:rPr>
          <w:b/>
        </w:rPr>
        <w:t>A.1</w:t>
      </w:r>
      <w:r>
        <w:rPr/>
        <w:tab/>
        <w:t>My name is Christopher J. Blunt.  My business address is 505 Van Ness Avenue, San Francisco, California, 94102.</w:t>
      </w:r>
    </w:p>
    <w:p>
      <w:pPr>
        <w:pStyle w:val="Header"/>
        <w:tabs>
          <w:tab w:val="clear" w:pos="4320"/>
          <w:tab w:val="clear" w:pos="8640"/>
        </w:tabs>
        <w:spacing w:lineRule="auto" w:line="360"/>
        <w:rPr/>
      </w:pPr>
      <w:r>
        <w:rPr/>
      </w:r>
    </w:p>
    <w:p>
      <w:pPr>
        <w:pStyle w:val="Normal"/>
        <w:spacing w:lineRule="auto" w:line="360"/>
        <w:rPr/>
      </w:pPr>
      <w:r>
        <w:rPr>
          <w:b/>
        </w:rPr>
        <w:t>Q.2</w:t>
      </w:r>
      <w:r>
        <w:rPr/>
        <w:tab/>
        <w:t>By whom are you employed and in what capacity?</w:t>
      </w:r>
    </w:p>
    <w:p>
      <w:pPr>
        <w:pStyle w:val="Normal"/>
        <w:spacing w:lineRule="auto" w:line="360"/>
        <w:ind w:hanging="720" w:start="720" w:end="0"/>
        <w:rPr/>
      </w:pPr>
      <w:r>
        <w:rPr>
          <w:b/>
        </w:rPr>
        <w:t>A.2</w:t>
      </w:r>
      <w:r>
        <w:rPr/>
        <w:tab/>
        <w:t>The California Public Utilities Commission employs me as a Public Utilities Regulatory Analyst in the Market Development Branch of the Office of Ratepayer Advocates.</w:t>
      </w:r>
    </w:p>
    <w:p>
      <w:pPr>
        <w:pStyle w:val="Normal"/>
        <w:spacing w:lineRule="auto" w:line="360"/>
        <w:rPr/>
      </w:pPr>
      <w:r>
        <w:rPr/>
      </w:r>
    </w:p>
    <w:p>
      <w:pPr>
        <w:pStyle w:val="Normal"/>
        <w:spacing w:lineRule="auto" w:line="360"/>
        <w:rPr/>
      </w:pPr>
      <w:r>
        <w:rPr>
          <w:b/>
        </w:rPr>
        <w:t>Q.3</w:t>
      </w:r>
      <w:r>
        <w:rPr/>
        <w:tab/>
        <w:t>Please describe your educational and professional experience.</w:t>
      </w:r>
    </w:p>
    <w:p>
      <w:pPr>
        <w:pStyle w:val="Normal"/>
        <w:spacing w:lineRule="auto" w:line="360"/>
        <w:ind w:hanging="720" w:start="720" w:end="0"/>
        <w:rPr/>
      </w:pPr>
      <w:r>
        <w:rPr>
          <w:b/>
        </w:rPr>
        <w:t>A.3</w:t>
      </w:r>
      <w:r>
        <w:rPr/>
        <w:tab/>
        <w:t xml:space="preserve">I have a Bachelor of Science Degree in accounting.  I have worked for the Commission since 1980.  I have completed numerous policy, financial, and economic analyses on a variety of California industries and have testified before the Commission on my recommendations.  </w:t>
      </w:r>
    </w:p>
    <w:p>
      <w:pPr>
        <w:pStyle w:val="Normal"/>
        <w:spacing w:lineRule="auto" w:line="360"/>
        <w:ind w:hanging="720" w:start="720" w:end="0"/>
        <w:rPr/>
      </w:pPr>
      <w:r>
        <w:rPr/>
      </w:r>
    </w:p>
    <w:p>
      <w:pPr>
        <w:pStyle w:val="Normal"/>
        <w:spacing w:lineRule="auto" w:line="360"/>
        <w:rPr/>
      </w:pPr>
      <w:r>
        <w:rPr>
          <w:b/>
        </w:rPr>
        <w:t>Q.4</w:t>
      </w:r>
      <w:r>
        <w:rPr/>
        <w:tab/>
        <w:t>What are your areas of responsibility in this proceeding?</w:t>
      </w:r>
    </w:p>
    <w:p>
      <w:pPr>
        <w:pStyle w:val="Normal"/>
        <w:spacing w:lineRule="auto" w:line="360"/>
        <w:ind w:hanging="720" w:start="720" w:end="0"/>
        <w:rPr/>
      </w:pPr>
      <w:r>
        <w:rPr>
          <w:b/>
        </w:rPr>
        <w:t>A.4</w:t>
      </w:r>
      <w:r>
        <w:rPr/>
        <w:tab/>
        <w:t>I am responsible for the overall coordination of the project, and Chapter Nos. 1 and 9, of ORA’s Opening Testimony.</w:t>
      </w:r>
    </w:p>
    <w:p>
      <w:pPr>
        <w:pStyle w:val="Normal"/>
        <w:spacing w:lineRule="auto" w:line="360"/>
        <w:rPr/>
      </w:pPr>
      <w:r>
        <w:rPr/>
      </w:r>
    </w:p>
    <w:p>
      <w:pPr>
        <w:pStyle w:val="Normal"/>
        <w:spacing w:lineRule="auto" w:line="360"/>
        <w:rPr/>
      </w:pPr>
      <w:r>
        <w:rPr>
          <w:b/>
        </w:rPr>
        <w:t>Q.5</w:t>
      </w:r>
      <w:r>
        <w:rPr/>
        <w:tab/>
        <w:t>Does this complete your testimony?</w:t>
      </w:r>
    </w:p>
    <w:p>
      <w:pPr>
        <w:pStyle w:val="Normal"/>
        <w:spacing w:lineRule="auto" w:line="360"/>
        <w:rPr/>
      </w:pPr>
      <w:r>
        <w:rPr>
          <w:b/>
        </w:rPr>
        <w:t>A.5</w:t>
      </w:r>
      <w:r>
        <w:rPr/>
        <w:tab/>
        <w:t>Yes.</w:t>
      </w:r>
    </w:p>
    <w:p>
      <w:pPr>
        <w:sectPr>
          <w:footerReference w:type="default" r:id="rId32"/>
          <w:footerReference w:type="first" r:id="rId33"/>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rPr/>
      </w:pPr>
      <w:r>
        <w:rPr/>
      </w:r>
    </w:p>
    <w:p>
      <w:pPr>
        <w:pStyle w:val="Heading"/>
        <w:rPr>
          <w:sz w:val="28"/>
        </w:rPr>
      </w:pPr>
      <w:r>
        <w:rPr>
          <w:sz w:val="28"/>
        </w:rPr>
        <w:t>QUALIFICATIONS</w:t>
      </w:r>
    </w:p>
    <w:p>
      <w:pPr>
        <w:pStyle w:val="Heading"/>
        <w:rPr>
          <w:sz w:val="28"/>
        </w:rPr>
      </w:pPr>
      <w:r>
        <w:rPr>
          <w:sz w:val="28"/>
        </w:rPr>
        <w:t>OF</w:t>
      </w:r>
    </w:p>
    <w:p>
      <w:pPr>
        <w:pStyle w:val="Heading"/>
        <w:rPr>
          <w:sz w:val="28"/>
        </w:rPr>
      </w:pPr>
      <w:r>
        <w:rPr>
          <w:sz w:val="28"/>
        </w:rPr>
        <w:t>SEAN F. CASEY</w:t>
      </w:r>
    </w:p>
    <w:p>
      <w:pPr>
        <w:pStyle w:val="Normal"/>
        <w:ind w:hanging="1080" w:start="1440" w:end="720"/>
        <w:rPr>
          <w:sz w:val="28"/>
        </w:rPr>
      </w:pPr>
      <w:r>
        <w:rPr>
          <w:sz w:val="28"/>
        </w:rPr>
      </w:r>
    </w:p>
    <w:p>
      <w:pPr>
        <w:pStyle w:val="Normal"/>
        <w:spacing w:lineRule="auto" w:line="360"/>
        <w:rPr/>
      </w:pPr>
      <w:r>
        <w:rPr>
          <w:b/>
        </w:rPr>
        <w:t>Q</w:t>
      </w:r>
      <w:r>
        <w:rPr>
          <w:b/>
          <w:sz w:val="26"/>
        </w:rPr>
        <w:t>.1</w:t>
      </w:r>
      <w:r>
        <w:rPr>
          <w:sz w:val="26"/>
        </w:rPr>
        <w:tab/>
        <w:t>Please state your name and business address.</w:t>
      </w:r>
    </w:p>
    <w:p>
      <w:pPr>
        <w:pStyle w:val="Normal"/>
        <w:spacing w:lineRule="auto" w:line="360"/>
        <w:ind w:hanging="720" w:start="720" w:end="0"/>
        <w:rPr/>
      </w:pPr>
      <w:r>
        <w:rPr>
          <w:b/>
        </w:rPr>
        <w:t>A.1</w:t>
      </w:r>
      <w:r>
        <w:rPr>
          <w:sz w:val="26"/>
        </w:rPr>
        <w:tab/>
        <w:t>My name is Sean Francis Casey.  My business address is 505 Van Ness Ave., San Francisco, California</w:t>
      </w:r>
      <w:r>
        <w:rPr/>
        <w:t>, 94102</w:t>
      </w:r>
      <w:r>
        <w:rPr>
          <w:sz w:val="26"/>
        </w:rPr>
        <w:t>.</w:t>
      </w:r>
    </w:p>
    <w:p>
      <w:pPr>
        <w:pStyle w:val="Normal"/>
        <w:spacing w:lineRule="auto" w:line="360"/>
        <w:rPr/>
      </w:pPr>
      <w:r>
        <w:rPr>
          <w:b/>
        </w:rPr>
        <w:t>Q.2</w:t>
      </w:r>
      <w:r>
        <w:rPr>
          <w:sz w:val="26"/>
        </w:rPr>
        <w:tab/>
        <w:t>By whom are you employed and what is your job title?</w:t>
      </w:r>
    </w:p>
    <w:p>
      <w:pPr>
        <w:pStyle w:val="Normal"/>
        <w:spacing w:lineRule="auto" w:line="360"/>
        <w:ind w:hanging="720" w:start="720" w:end="0"/>
        <w:rPr/>
      </w:pPr>
      <w:r>
        <w:rPr>
          <w:b/>
        </w:rPr>
        <w:t>A.2</w:t>
      </w:r>
      <w:r>
        <w:rPr>
          <w:sz w:val="26"/>
        </w:rPr>
        <w:tab/>
        <w:t xml:space="preserve">The California Public Utilities Commission employs me in the Office of Ratepayer Advocates as a Public Utilities Regulatory Program Specialist IV in the Public Purpose and Transition Issues Branch. </w:t>
      </w:r>
    </w:p>
    <w:p>
      <w:pPr>
        <w:pStyle w:val="Normal"/>
        <w:spacing w:lineRule="auto" w:line="360"/>
        <w:rPr/>
      </w:pPr>
      <w:r>
        <w:rPr>
          <w:b/>
        </w:rPr>
        <w:t>Q.3</w:t>
      </w:r>
      <w:r>
        <w:rPr>
          <w:sz w:val="26"/>
        </w:rPr>
        <w:tab/>
        <w:t xml:space="preserve">Please state your educational and professional background. </w:t>
      </w:r>
    </w:p>
    <w:p>
      <w:pPr>
        <w:pStyle w:val="Normal"/>
        <w:spacing w:lineRule="auto" w:line="360"/>
        <w:ind w:hanging="720" w:start="720" w:end="0"/>
        <w:rPr/>
      </w:pPr>
      <w:r>
        <w:rPr>
          <w:b/>
        </w:rPr>
        <w:t>A.3</w:t>
      </w:r>
      <w:r>
        <w:rPr>
          <w:sz w:val="26"/>
        </w:rPr>
        <w:tab/>
        <w:t>I attended the University of Waterloo in Ontario Canada.  I have been employed in the field of energy studies since 1975.  In 1981 I was employed by the California Energy Commission and worked in both the System Assessment and Fossil Fuels Office. In 1983 the Fuels Branch of the then Public Staff Division of the CPUC hired me.  Subsequently I frequently testified on matters pertaining to the cost and supply of natural gas and this Commission gas regulatory policy.  The Energy Rate Design and Economics Branch of the then Division of Ratepayer Advocates employed me from March of 1988 until recently.  In that position I frequently testified on electric marginal costs, revenue allocation, and rate design matters.  I am currently the project manager for Direct Access related proceedings for the Office of Ratepayer Advocates.</w:t>
      </w:r>
    </w:p>
    <w:p>
      <w:pPr>
        <w:pStyle w:val="Normal"/>
        <w:spacing w:lineRule="auto" w:line="360"/>
        <w:rPr/>
      </w:pPr>
      <w:r>
        <w:rPr>
          <w:b/>
          <w:sz w:val="26"/>
        </w:rPr>
        <w:t>Q.4</w:t>
      </w:r>
      <w:r>
        <w:rPr>
          <w:sz w:val="26"/>
        </w:rPr>
        <w:t xml:space="preserve"> </w:t>
        <w:tab/>
        <w:t>What is your responsibility in this proceeding?</w:t>
      </w:r>
    </w:p>
    <w:p>
      <w:pPr>
        <w:pStyle w:val="Normal"/>
        <w:spacing w:lineRule="auto" w:line="360"/>
        <w:ind w:hanging="720" w:start="720" w:end="0"/>
        <w:rPr/>
      </w:pPr>
      <w:r>
        <w:rPr>
          <w:b/>
          <w:sz w:val="26"/>
        </w:rPr>
        <w:t>A.4</w:t>
      </w:r>
      <w:r>
        <w:rPr>
          <w:sz w:val="26"/>
        </w:rPr>
        <w:tab/>
        <w:t xml:space="preserve">In this proceeding I am responsible for Chapter 2 of ORA’s Opening Testimony. </w:t>
      </w:r>
    </w:p>
    <w:p>
      <w:pPr>
        <w:pStyle w:val="Normal"/>
        <w:spacing w:lineRule="auto" w:line="360"/>
        <w:rPr/>
      </w:pPr>
      <w:r>
        <w:rPr>
          <w:b/>
        </w:rPr>
        <w:t>Q.5</w:t>
      </w:r>
      <w:r>
        <w:rPr/>
        <w:tab/>
        <w:t>Does this complete your testimony?</w:t>
      </w:r>
    </w:p>
    <w:p>
      <w:pPr>
        <w:pStyle w:val="Normal"/>
        <w:spacing w:lineRule="auto" w:line="360"/>
        <w:rPr/>
      </w:pPr>
      <w:r>
        <w:rPr>
          <w:b/>
        </w:rPr>
        <w:t>A.5</w:t>
      </w:r>
      <w:r>
        <w:rPr/>
        <w:tab/>
        <w:t>Yes.</w:t>
      </w:r>
    </w:p>
    <w:p>
      <w:pPr>
        <w:sectPr>
          <w:footerReference w:type="default" r:id="rId34"/>
          <w:footerReference w:type="first" r:id="rId35"/>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ind w:hanging="1080" w:start="1440" w:end="720"/>
        <w:rPr/>
      </w:pPr>
      <w:r>
        <w:rPr/>
      </w:r>
    </w:p>
    <w:p>
      <w:pPr>
        <w:pStyle w:val="Heading"/>
        <w:rPr>
          <w:sz w:val="28"/>
        </w:rPr>
      </w:pPr>
      <w:r>
        <w:rPr>
          <w:sz w:val="28"/>
        </w:rPr>
        <w:t>QUALIFICATIONS</w:t>
      </w:r>
    </w:p>
    <w:p>
      <w:pPr>
        <w:pStyle w:val="Heading"/>
        <w:rPr>
          <w:sz w:val="28"/>
        </w:rPr>
      </w:pPr>
      <w:r>
        <w:rPr>
          <w:sz w:val="28"/>
        </w:rPr>
        <w:t>OF</w:t>
      </w:r>
    </w:p>
    <w:p>
      <w:pPr>
        <w:pStyle w:val="Heading"/>
        <w:rPr>
          <w:sz w:val="28"/>
        </w:rPr>
      </w:pPr>
      <w:r>
        <w:rPr>
          <w:sz w:val="28"/>
        </w:rPr>
        <w:t>DONALD R. SMITH</w:t>
      </w:r>
    </w:p>
    <w:p>
      <w:pPr>
        <w:pStyle w:val="Heading"/>
        <w:spacing w:lineRule="auto" w:line="360"/>
        <w:rPr>
          <w:sz w:val="28"/>
        </w:rPr>
      </w:pPr>
      <w:r>
        <w:rPr>
          <w:sz w:val="28"/>
        </w:rPr>
      </w:r>
    </w:p>
    <w:p>
      <w:pPr>
        <w:pStyle w:val="Normal"/>
        <w:spacing w:lineRule="auto" w:line="360"/>
        <w:ind w:hanging="810" w:start="810" w:end="0"/>
        <w:rPr/>
      </w:pPr>
      <w:r>
        <w:rPr>
          <w:b/>
        </w:rPr>
        <w:t>Q.1</w:t>
      </w:r>
      <w:r>
        <w:rPr/>
        <w:tab/>
        <w:t>Please state your name and business address.</w:t>
      </w:r>
    </w:p>
    <w:p>
      <w:pPr>
        <w:pStyle w:val="Normal"/>
        <w:spacing w:lineRule="auto" w:line="360"/>
        <w:ind w:hanging="810" w:start="810" w:end="0"/>
        <w:rPr/>
      </w:pPr>
      <w:r>
        <w:rPr>
          <w:b/>
        </w:rPr>
        <w:t>A.1</w:t>
      </w:r>
      <w:r>
        <w:rPr/>
        <w:tab/>
        <w:t>My name is Donald Robert Smith.  My business address is Room 4101, 505 Van Ness Avenue, San Francisco, California, 94102.</w:t>
      </w:r>
    </w:p>
    <w:p>
      <w:pPr>
        <w:pStyle w:val="Normal"/>
        <w:spacing w:lineRule="auto" w:line="360"/>
        <w:ind w:hanging="810" w:start="810" w:end="0"/>
        <w:rPr/>
      </w:pPr>
      <w:r>
        <w:rPr>
          <w:b/>
        </w:rPr>
        <w:t>Q.2</w:t>
      </w:r>
      <w:r>
        <w:rPr/>
        <w:tab/>
        <w:t>By whom are you employed and in what capacity?</w:t>
      </w:r>
    </w:p>
    <w:p>
      <w:pPr>
        <w:pStyle w:val="Normal"/>
        <w:spacing w:lineRule="auto" w:line="360"/>
        <w:ind w:hanging="810" w:start="810" w:end="0"/>
        <w:rPr/>
      </w:pPr>
      <w:r>
        <w:rPr>
          <w:b/>
        </w:rPr>
        <w:t>Q.2</w:t>
      </w:r>
      <w:r>
        <w:rPr/>
        <w:tab/>
        <w:t>The California Public Utilities Commission employs me as a Public Utility Regulatory Analyst in the Office of Ratepayer Advocates.</w:t>
      </w:r>
    </w:p>
    <w:p>
      <w:pPr>
        <w:pStyle w:val="Normal"/>
        <w:spacing w:lineRule="auto" w:line="360"/>
        <w:ind w:hanging="810" w:start="810" w:end="0"/>
        <w:rPr/>
      </w:pPr>
      <w:r>
        <w:rPr>
          <w:b/>
        </w:rPr>
        <w:t>Q.3</w:t>
      </w:r>
      <w:r>
        <w:rPr/>
        <w:tab/>
        <w:t>Please describe your educational background and professional experience.</w:t>
      </w:r>
    </w:p>
    <w:p>
      <w:pPr>
        <w:pStyle w:val="Normal"/>
        <w:spacing w:lineRule="auto" w:line="360"/>
        <w:ind w:hanging="810" w:start="810" w:end="0"/>
        <w:rPr/>
      </w:pPr>
      <w:r>
        <w:rPr>
          <w:b/>
        </w:rPr>
        <w:t>A.3</w:t>
      </w:r>
      <w:r>
        <w:rPr/>
        <w:tab/>
        <w:t>I received a B.S. in Mechanical Engineering from Iowa State University in Ames.  I also hold a Ph.D. in History from the University of Iowa in Iowa City.  My thesis was based on a computer-aided statistical analysis of social, economic, demographic, and political correlation in French elections.  I worked for ten years for the renewable energy section of PG &amp;E’s Research and Development Department.  In that capacity, I did economic and engineering analysis of energy sources, and developed quantitative methods of finding their value to the utility.  I have had 24 technical papers on these subjects published, and have taught wind energy extension courses for the University of Wisconsin Engineering College. I have also done consulting work for utilities, independent energy producers, and distributed generation consultants.  The CPUC has employed me for the past year, and I am sponsoring the marginal cost chapter of PG&amp;E’s General Rate Case II, and I am also involved in the Distributed Generation project.</w:t>
      </w:r>
    </w:p>
    <w:p>
      <w:pPr>
        <w:pStyle w:val="Normal"/>
        <w:spacing w:lineRule="auto" w:line="360"/>
        <w:ind w:hanging="810" w:start="810" w:end="0"/>
        <w:rPr/>
      </w:pPr>
      <w:r>
        <w:rPr>
          <w:b/>
        </w:rPr>
        <w:t>Q.4</w:t>
      </w:r>
      <w:r>
        <w:rPr/>
        <w:tab/>
        <w:t>What is the purpose of your testimony?</w:t>
      </w:r>
    </w:p>
    <w:p>
      <w:pPr>
        <w:pStyle w:val="Normal"/>
        <w:spacing w:lineRule="auto" w:line="360"/>
        <w:ind w:hanging="810" w:start="810" w:end="0"/>
        <w:rPr/>
      </w:pPr>
      <w:r>
        <w:rPr>
          <w:b/>
        </w:rPr>
        <w:t>A.4</w:t>
      </w:r>
      <w:r>
        <w:rPr/>
        <w:tab/>
        <w:t>I am sponsoring Chapter 3, Marginal Costs, and the customer charge section of Chapter 5, Residential Rate Design</w:t>
      </w:r>
    </w:p>
    <w:p>
      <w:pPr>
        <w:pStyle w:val="Normal"/>
        <w:spacing w:lineRule="auto" w:line="360"/>
        <w:ind w:hanging="810" w:start="810" w:end="0"/>
        <w:rPr/>
      </w:pPr>
      <w:r>
        <w:rPr>
          <w:b/>
        </w:rPr>
        <w:t>Q.5</w:t>
      </w:r>
      <w:r>
        <w:rPr/>
        <w:tab/>
        <w:t>Does this complete your testimony?</w:t>
      </w:r>
    </w:p>
    <w:p>
      <w:pPr>
        <w:pStyle w:val="Normal"/>
        <w:spacing w:lineRule="auto" w:line="360"/>
        <w:ind w:hanging="810" w:start="810" w:end="0"/>
        <w:rPr/>
      </w:pPr>
      <w:r>
        <w:rPr>
          <w:b/>
        </w:rPr>
        <w:t>A.5</w:t>
      </w:r>
      <w:r>
        <w:rPr/>
        <w:tab/>
        <w:t>Yes, it does.</w:t>
      </w:r>
    </w:p>
    <w:p>
      <w:pPr>
        <w:sectPr>
          <w:footerReference w:type="default" r:id="rId36"/>
          <w:footerReference w:type="first" r:id="rId37"/>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rPr/>
      </w:pPr>
      <w:r>
        <w:rPr/>
      </w:r>
    </w:p>
    <w:p>
      <w:pPr>
        <w:pStyle w:val="Heading2"/>
        <w:widowControl/>
        <w:spacing w:lineRule="auto" w:line="360" w:before="0" w:after="0"/>
        <w:ind w:hanging="0" w:start="0"/>
        <w:rPr>
          <w:rFonts w:ascii="Times New Roman" w:hAnsi="Times New Roman" w:cs="Times New Roman"/>
        </w:rPr>
      </w:pPr>
      <w:r>
        <w:rPr>
          <w:rFonts w:cs="Times New Roman" w:ascii="Times New Roman" w:hAnsi="Times New Roman"/>
        </w:rPr>
        <w:t>QUALIFICATIONS</w:t>
      </w:r>
    </w:p>
    <w:p>
      <w:pPr>
        <w:pStyle w:val="Normal"/>
        <w:spacing w:lineRule="auto" w:line="360"/>
        <w:jc w:val="center"/>
        <w:rPr>
          <w:b/>
        </w:rPr>
      </w:pPr>
      <w:r>
        <w:rPr>
          <w:b/>
        </w:rPr>
        <w:t>OF</w:t>
      </w:r>
    </w:p>
    <w:p>
      <w:pPr>
        <w:pStyle w:val="Normal"/>
        <w:spacing w:lineRule="auto" w:line="360"/>
        <w:jc w:val="center"/>
        <w:rPr>
          <w:b/>
        </w:rPr>
      </w:pPr>
      <w:r>
        <w:rPr>
          <w:b/>
        </w:rPr>
        <w:t>SCARLETT C. LIANG-UEJIO</w:t>
      </w:r>
    </w:p>
    <w:p>
      <w:pPr>
        <w:pStyle w:val="Normal"/>
        <w:spacing w:lineRule="auto" w:line="360"/>
        <w:rPr>
          <w:b/>
        </w:rPr>
      </w:pPr>
      <w:r>
        <w:rPr>
          <w:b/>
        </w:rPr>
      </w:r>
    </w:p>
    <w:p>
      <w:pPr>
        <w:pStyle w:val="Normal"/>
        <w:spacing w:lineRule="auto" w:line="360"/>
        <w:rPr/>
      </w:pPr>
      <w:r>
        <w:rPr>
          <w:b/>
        </w:rPr>
        <w:t>Q.1</w:t>
      </w:r>
      <w:r>
        <w:rPr/>
        <w:tab/>
        <w:t>Please state your name and business address.</w:t>
      </w:r>
    </w:p>
    <w:p>
      <w:pPr>
        <w:pStyle w:val="Normal"/>
        <w:spacing w:lineRule="auto" w:line="360"/>
        <w:ind w:hanging="720" w:start="720" w:end="0"/>
        <w:rPr/>
      </w:pPr>
      <w:r>
        <w:rPr>
          <w:b/>
        </w:rPr>
        <w:t>A.1</w:t>
      </w:r>
      <w:r>
        <w:rPr/>
        <w:tab/>
        <w:t>My name is Scarlett Liang-Uejio.  My business address is the State Building, 505 Van Ness Avenue, San Francisco, CA 94102.</w:t>
      </w:r>
    </w:p>
    <w:p>
      <w:pPr>
        <w:pStyle w:val="Normal"/>
        <w:spacing w:lineRule="auto" w:line="360"/>
        <w:rPr/>
      </w:pPr>
      <w:r>
        <w:rPr/>
      </w:r>
    </w:p>
    <w:p>
      <w:pPr>
        <w:pStyle w:val="Normal"/>
        <w:spacing w:lineRule="auto" w:line="360"/>
        <w:rPr/>
      </w:pPr>
      <w:r>
        <w:rPr>
          <w:b/>
        </w:rPr>
        <w:t>Q.2</w:t>
      </w:r>
      <w:r>
        <w:rPr/>
        <w:tab/>
        <w:t>What is your position at the Commission?</w:t>
      </w:r>
    </w:p>
    <w:p>
      <w:pPr>
        <w:pStyle w:val="Normal"/>
        <w:spacing w:lineRule="auto" w:line="360"/>
        <w:ind w:hanging="720" w:start="720" w:end="0"/>
        <w:rPr/>
      </w:pPr>
      <w:r>
        <w:rPr>
          <w:b/>
        </w:rPr>
        <w:t>A.2</w:t>
      </w:r>
      <w:r>
        <w:rPr/>
        <w:tab/>
        <w:t>I am a Public Utilities Regulatory Analyst III in the Consumer Issues Branch of Office of Ratepayer Advocates Division.</w:t>
      </w:r>
    </w:p>
    <w:p>
      <w:pPr>
        <w:pStyle w:val="Normal"/>
        <w:spacing w:lineRule="auto" w:line="360"/>
        <w:ind w:hanging="720" w:start="720" w:end="0"/>
        <w:rPr/>
      </w:pPr>
      <w:r>
        <w:rPr/>
      </w:r>
    </w:p>
    <w:p>
      <w:pPr>
        <w:pStyle w:val="Normal"/>
        <w:spacing w:lineRule="auto" w:line="360"/>
        <w:ind w:hanging="720" w:start="720" w:end="0"/>
        <w:rPr/>
      </w:pPr>
      <w:r>
        <w:rPr>
          <w:b/>
        </w:rPr>
        <w:t>Q.3</w:t>
      </w:r>
      <w:r>
        <w:rPr/>
        <w:tab/>
        <w:t>Briefly summarize your educational and professional background.</w:t>
      </w:r>
    </w:p>
    <w:p>
      <w:pPr>
        <w:pStyle w:val="Normal"/>
        <w:spacing w:lineRule="auto" w:line="360"/>
        <w:ind w:hanging="720" w:start="720" w:end="0"/>
        <w:rPr/>
      </w:pPr>
      <w:r>
        <w:rPr>
          <w:b/>
        </w:rPr>
        <w:t>A.3</w:t>
      </w:r>
      <w:r>
        <w:rPr/>
        <w:tab/>
        <w:t>I received a Bachelor of Science degree in Mechanical Engineering from South China University of Technology in 1983.  I also received a Masters degree in Mechanical Engineering from the University of California, Davis in 1989.</w:t>
      </w:r>
    </w:p>
    <w:p>
      <w:pPr>
        <w:pStyle w:val="Normal"/>
        <w:spacing w:lineRule="auto" w:line="360"/>
        <w:ind w:firstLine="720" w:start="720" w:end="0"/>
        <w:rPr/>
      </w:pPr>
      <w:r>
        <w:rPr/>
        <w:t xml:space="preserve">I joined the Commission in 1989.  I have worked on energy matters since 1990.  I transferred to ORA from the Energy Division in April 1998.  My assignment included 1998 Revenue Adjustment Proceeding (RAP) as a witness sponsoring Chapter 4, “Allocation of Electric Restructuring Implementation Costs” of ORA’s Report on 1998 RAP.   My other assignments included Section 376 applications and PG&amp;E’s 1997 ECAC Reasonableness Review.  I was an ORA witness sponsoring a section, Chapter 4, “Section 376 Cost Recovery Mechanism” of ORA’s Phase I Report on Section 376 Eligibility and Cost Recovery Issues for PG&amp;E, SCE, and SDG&amp;E.  I also sponsored Chapter 7,  “Power Purchase from Qualifying Facilities” of ORA’s Reasonableness Report 1997-1998 Record Period for PG&amp;E.   </w:t>
      </w:r>
    </w:p>
    <w:p>
      <w:pPr>
        <w:pStyle w:val="Normal"/>
        <w:spacing w:lineRule="auto" w:line="360"/>
        <w:ind w:firstLine="720" w:start="720" w:end="0"/>
        <w:rPr/>
      </w:pPr>
      <w:r>
        <w:rPr/>
        <w:t xml:space="preserve">Prior to joining ORA, I have had a number of assignments in the Energy Division in a number of energy ratemaking proceedings: electric rate unbundling, PBRs, GRCs and ECACs in the Energy Division.  My primary responsibilities were to provide technical and policy support to the Administrative Law Judges and Commissioners in ratemaking applications and advice letter filings.  I have worked on SCE’s 1992 GRC, SDG&amp;E’s 1993 GRC, PG&amp;E’s 1996 GRC, and SoCal Gas’ 1996 PBR, etc.  My responsibilities included developing methodology and models to forecast the utility’s operating costs, calculate revenue requirements and marginal costs, revenue allocation, and rate design for the ALJ’s proposed and Commission’s final decisions.    </w:t>
      </w:r>
    </w:p>
    <w:p>
      <w:pPr>
        <w:pStyle w:val="Normal"/>
        <w:spacing w:lineRule="auto" w:line="360"/>
        <w:ind w:firstLine="720" w:start="720" w:end="0"/>
        <w:rPr/>
      </w:pPr>
      <w:r>
        <w:rPr/>
        <w:t xml:space="preserve">My last assignments in Energy Division were SDG&amp;E’s electric rate unbundling application and its compliance A.L. filing.  My responsibilities included reviewing and analyzing issues relating unbundling of utilities’ revenue requirements and rates, class allocation and rate design, methodology for the transition costs calculation, PX cost calculation, and implementation of Direct Access.  I also worked on the resolution for SDG&amp;E’s unbundling compliance advice letter.   </w:t>
      </w:r>
    </w:p>
    <w:p>
      <w:pPr>
        <w:pStyle w:val="Normal"/>
        <w:spacing w:lineRule="auto" w:line="360"/>
        <w:ind w:hanging="720" w:start="720" w:end="0"/>
        <w:rPr/>
      </w:pPr>
      <w:r>
        <w:rPr/>
      </w:r>
    </w:p>
    <w:p>
      <w:pPr>
        <w:pStyle w:val="Normal"/>
        <w:spacing w:lineRule="auto" w:line="360"/>
        <w:ind w:hanging="720" w:start="720" w:end="0"/>
        <w:rPr/>
      </w:pPr>
      <w:r>
        <w:rPr>
          <w:b/>
        </w:rPr>
        <w:t>Q.5</w:t>
      </w:r>
      <w:r>
        <w:rPr/>
        <w:tab/>
        <w:t>What is the purpose of your testimony in this proceeding?</w:t>
      </w:r>
    </w:p>
    <w:p>
      <w:pPr>
        <w:pStyle w:val="Normal"/>
        <w:spacing w:lineRule="auto" w:line="360"/>
        <w:ind w:hanging="720" w:start="720" w:end="0"/>
        <w:rPr/>
      </w:pPr>
      <w:r>
        <w:rPr>
          <w:b/>
        </w:rPr>
        <w:t>A.5</w:t>
      </w:r>
      <w:r>
        <w:rPr/>
        <w:tab/>
        <w:t>I am sponsoring Chapter 4, “Revenue Allocation” of ORA’s Opening Testimony associated with Phase 2 of PG&amp;E’s Test Year 1999 General Rate Case, A.99-03-014.</w:t>
      </w:r>
    </w:p>
    <w:p>
      <w:pPr>
        <w:pStyle w:val="Normal"/>
        <w:spacing w:lineRule="auto" w:line="360"/>
        <w:ind w:hanging="720" w:start="720" w:end="0"/>
        <w:rPr/>
      </w:pPr>
      <w:r>
        <w:rPr/>
      </w:r>
    </w:p>
    <w:p>
      <w:pPr>
        <w:pStyle w:val="Normal"/>
        <w:spacing w:lineRule="auto" w:line="360"/>
        <w:ind w:hanging="720" w:start="720" w:end="0"/>
        <w:rPr/>
      </w:pPr>
      <w:r>
        <w:rPr>
          <w:b/>
        </w:rPr>
        <w:t>Q.6</w:t>
      </w:r>
      <w:r>
        <w:rPr/>
        <w:tab/>
        <w:t>Does this complete your prepared testimony at this time?</w:t>
      </w:r>
    </w:p>
    <w:p>
      <w:pPr>
        <w:sectPr>
          <w:footerReference w:type="default" r:id="rId38"/>
          <w:footerReference w:type="first" r:id="rId39"/>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ind w:hanging="720" w:start="720" w:end="0"/>
        <w:rPr/>
      </w:pPr>
      <w:r>
        <w:rPr>
          <w:b/>
        </w:rPr>
        <w:t>A.6</w:t>
      </w:r>
      <w:r>
        <w:rPr/>
        <w:tab/>
        <w:t>Yes, it does.</w:t>
      </w:r>
    </w:p>
    <w:p>
      <w:pPr>
        <w:pStyle w:val="Heading6"/>
        <w:rPr>
          <w:rFonts w:ascii="Times New Roman" w:hAnsi="Times New Roman" w:cs="Times New Roman"/>
          <w:sz w:val="28"/>
        </w:rPr>
      </w:pPr>
      <w:r>
        <w:rPr>
          <w:rFonts w:cs="Times New Roman" w:ascii="Times New Roman" w:hAnsi="Times New Roman"/>
          <w:sz w:val="28"/>
        </w:rPr>
        <w:t>QUALIFICATIONS</w:t>
      </w:r>
    </w:p>
    <w:p>
      <w:pPr>
        <w:pStyle w:val="Heading6"/>
        <w:rPr>
          <w:rFonts w:ascii="Times New Roman" w:hAnsi="Times New Roman" w:cs="Times New Roman"/>
          <w:sz w:val="28"/>
        </w:rPr>
      </w:pPr>
      <w:r>
        <w:rPr>
          <w:rFonts w:cs="Times New Roman" w:ascii="Times New Roman" w:hAnsi="Times New Roman"/>
          <w:sz w:val="28"/>
        </w:rPr>
        <w:t>OF</w:t>
      </w:r>
    </w:p>
    <w:p>
      <w:pPr>
        <w:pStyle w:val="Normal"/>
        <w:ind w:firstLine="720" w:end="0"/>
        <w:jc w:val="center"/>
        <w:rPr>
          <w:b/>
          <w:sz w:val="28"/>
        </w:rPr>
      </w:pPr>
      <w:r>
        <w:rPr>
          <w:b/>
          <w:sz w:val="28"/>
        </w:rPr>
        <w:t>TROID O. EDWARDS</w:t>
      </w:r>
    </w:p>
    <w:p>
      <w:pPr>
        <w:pStyle w:val="Normal"/>
        <w:ind w:firstLine="720" w:end="0"/>
        <w:rPr>
          <w:b/>
          <w:sz w:val="28"/>
        </w:rPr>
      </w:pPr>
      <w:r>
        <w:rPr>
          <w:b/>
          <w:sz w:val="28"/>
        </w:rPr>
      </w:r>
    </w:p>
    <w:p>
      <w:pPr>
        <w:pStyle w:val="Normal"/>
        <w:spacing w:lineRule="auto" w:line="360"/>
        <w:rPr/>
      </w:pPr>
      <w:r>
        <w:rPr>
          <w:b/>
        </w:rPr>
        <w:t>Q.1</w:t>
      </w:r>
      <w:r>
        <w:rPr/>
        <w:tab/>
        <w:t>Please state your name and address.</w:t>
      </w:r>
    </w:p>
    <w:p>
      <w:pPr>
        <w:pStyle w:val="Normal"/>
        <w:spacing w:lineRule="auto" w:line="360"/>
        <w:ind w:hanging="720" w:start="720" w:end="0"/>
        <w:rPr/>
      </w:pPr>
      <w:r>
        <w:rPr>
          <w:b/>
        </w:rPr>
        <w:t>A.1</w:t>
      </w:r>
      <w:r>
        <w:rPr/>
        <w:tab/>
        <w:t>My name is Troid Edwards. My business address is 505 Van Ness Avenue, San Francisco, CA 94102.</w:t>
      </w:r>
    </w:p>
    <w:p>
      <w:pPr>
        <w:pStyle w:val="Normal"/>
        <w:spacing w:lineRule="auto" w:line="360"/>
        <w:ind w:hanging="720" w:start="720" w:end="0"/>
        <w:rPr/>
      </w:pPr>
      <w:r>
        <w:rPr/>
      </w:r>
    </w:p>
    <w:p>
      <w:pPr>
        <w:pStyle w:val="Normal"/>
        <w:spacing w:lineRule="auto" w:line="360"/>
        <w:ind w:hanging="720" w:start="720" w:end="0"/>
        <w:rPr/>
      </w:pPr>
      <w:r>
        <w:rPr>
          <w:b/>
        </w:rPr>
        <w:t>Q.2</w:t>
      </w:r>
      <w:r>
        <w:rPr/>
        <w:tab/>
        <w:t>By whom are you employed and in what capacity?</w:t>
      </w:r>
    </w:p>
    <w:p>
      <w:pPr>
        <w:pStyle w:val="Normal"/>
        <w:spacing w:lineRule="auto" w:line="360"/>
        <w:ind w:hanging="720" w:start="720" w:end="0"/>
        <w:rPr/>
      </w:pPr>
      <w:r>
        <w:rPr>
          <w:b/>
        </w:rPr>
        <w:t>A.2</w:t>
      </w:r>
      <w:r>
        <w:rPr/>
        <w:tab/>
        <w:t>The California Public Utilities Commission employs me in its Office of Ratepayers Advocates, Market Development Branch, as a Public Utilities Regulatory Analyst I.</w:t>
      </w:r>
    </w:p>
    <w:p>
      <w:pPr>
        <w:pStyle w:val="Normal"/>
        <w:spacing w:lineRule="auto" w:line="360"/>
        <w:ind w:hanging="720" w:start="720" w:end="0"/>
        <w:rPr/>
      </w:pPr>
      <w:r>
        <w:rPr/>
      </w:r>
    </w:p>
    <w:p>
      <w:pPr>
        <w:pStyle w:val="Normal"/>
        <w:spacing w:lineRule="auto" w:line="360"/>
        <w:ind w:hanging="720" w:start="720" w:end="0"/>
        <w:rPr/>
      </w:pPr>
      <w:r>
        <w:rPr>
          <w:b/>
        </w:rPr>
        <w:t>Q.3</w:t>
      </w:r>
      <w:r>
        <w:rPr/>
        <w:tab/>
        <w:t>Briefly state your educational background.</w:t>
      </w:r>
    </w:p>
    <w:p>
      <w:pPr>
        <w:pStyle w:val="Normal"/>
        <w:spacing w:lineRule="auto" w:line="360"/>
        <w:ind w:hanging="720" w:start="720" w:end="0"/>
        <w:rPr/>
      </w:pPr>
      <w:r>
        <w:rPr>
          <w:b/>
        </w:rPr>
        <w:t>A.3</w:t>
      </w:r>
      <w:r>
        <w:rPr/>
        <w:tab/>
        <w:t>I received my BA degree from Rutgers, the State University of New Jersey, in 1998, majoring in Economics and History.  I attended NERA’s “Marginal Costing for Electric Utilities” course in October of 1999.</w:t>
      </w:r>
    </w:p>
    <w:p>
      <w:pPr>
        <w:pStyle w:val="Normal"/>
        <w:spacing w:lineRule="auto" w:line="360"/>
        <w:ind w:hanging="720" w:start="720" w:end="0"/>
        <w:rPr/>
      </w:pPr>
      <w:r>
        <w:rPr/>
      </w:r>
    </w:p>
    <w:p>
      <w:pPr>
        <w:pStyle w:val="Normal"/>
        <w:spacing w:lineRule="auto" w:line="360"/>
        <w:ind w:hanging="720" w:start="720" w:end="0"/>
        <w:rPr/>
      </w:pPr>
      <w:r>
        <w:rPr>
          <w:b/>
        </w:rPr>
        <w:t>Q.4</w:t>
      </w:r>
      <w:r>
        <w:rPr/>
        <w:tab/>
        <w:t>Briefly describe your professional experience.</w:t>
      </w:r>
    </w:p>
    <w:p>
      <w:pPr>
        <w:pStyle w:val="Normal"/>
        <w:spacing w:lineRule="auto" w:line="360"/>
        <w:ind w:hanging="720" w:start="720" w:end="0"/>
        <w:rPr/>
      </w:pPr>
      <w:r>
        <w:rPr>
          <w:b/>
        </w:rPr>
        <w:t>A.4</w:t>
      </w:r>
      <w:r>
        <w:rPr/>
        <w:tab/>
        <w:t>I first joined the CPUC in January of 1999 and have since worked on several electric proceedings.  I was an intern with The State of New Jersey’s Board of Public Utilities from 1995 to 1998.  During that time I worked in The Division of Cable Television, The Office of the Economist and The Energy Division on various projects.</w:t>
      </w:r>
    </w:p>
    <w:p>
      <w:pPr>
        <w:pStyle w:val="Normal"/>
        <w:spacing w:lineRule="auto" w:line="360"/>
        <w:ind w:hanging="720" w:start="720" w:end="0"/>
        <w:rPr/>
      </w:pPr>
      <w:r>
        <w:rPr/>
      </w:r>
    </w:p>
    <w:p>
      <w:pPr>
        <w:pStyle w:val="Normal"/>
        <w:spacing w:lineRule="auto" w:line="360"/>
        <w:ind w:hanging="720" w:start="720" w:end="0"/>
        <w:rPr/>
      </w:pPr>
      <w:r>
        <w:rPr>
          <w:b/>
        </w:rPr>
        <w:t>Q.5</w:t>
      </w:r>
      <w:r>
        <w:rPr/>
        <w:tab/>
        <w:t>What is your responsibility in this proceeding?</w:t>
      </w:r>
    </w:p>
    <w:p>
      <w:pPr>
        <w:pStyle w:val="Normal"/>
        <w:spacing w:lineRule="auto" w:line="360"/>
        <w:ind w:hanging="720" w:start="720" w:end="0"/>
        <w:rPr/>
      </w:pPr>
      <w:r>
        <w:rPr>
          <w:b/>
        </w:rPr>
        <w:t>A.5</w:t>
      </w:r>
      <w:r>
        <w:rPr/>
        <w:tab/>
        <w:t>I am sponsoring Sections 5.1, 5.2, 5.3, 5.4, and 5.19 associated with residential rate design in ORA’s Opening Testimony.</w:t>
      </w:r>
    </w:p>
    <w:p>
      <w:pPr>
        <w:pStyle w:val="Normal"/>
        <w:spacing w:lineRule="auto" w:line="360"/>
        <w:ind w:hanging="720" w:start="720" w:end="0"/>
        <w:rPr/>
      </w:pPr>
      <w:r>
        <w:rPr/>
      </w:r>
    </w:p>
    <w:p>
      <w:pPr>
        <w:pStyle w:val="Normal"/>
        <w:spacing w:lineRule="auto" w:line="360"/>
        <w:ind w:hanging="720" w:start="720" w:end="0"/>
        <w:rPr/>
      </w:pPr>
      <w:r>
        <w:rPr>
          <w:b/>
        </w:rPr>
        <w:t>Q.6</w:t>
      </w:r>
      <w:r>
        <w:rPr/>
        <w:tab/>
        <w:t>Does this complete your testimony?</w:t>
      </w:r>
    </w:p>
    <w:p>
      <w:pPr>
        <w:pStyle w:val="Normal"/>
        <w:spacing w:lineRule="auto" w:line="360"/>
        <w:ind w:hanging="720" w:start="720" w:end="0"/>
        <w:rPr/>
      </w:pPr>
      <w:r>
        <w:rPr>
          <w:b/>
        </w:rPr>
        <w:t>A.6</w:t>
      </w:r>
      <w:r>
        <w:rPr/>
        <w:tab/>
        <w:t>Yes, it does.</w:t>
      </w:r>
    </w:p>
    <w:p>
      <w:pPr>
        <w:sectPr>
          <w:footerReference w:type="default" r:id="rId40"/>
          <w:footerReference w:type="first" r:id="rId41"/>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rPr/>
      </w:pPr>
      <w:r>
        <w:rPr/>
      </w:r>
    </w:p>
    <w:p>
      <w:pPr>
        <w:pStyle w:val="Heading6"/>
        <w:rPr>
          <w:rFonts w:ascii="Times New Roman" w:hAnsi="Times New Roman" w:cs="Times New Roman"/>
          <w:sz w:val="28"/>
        </w:rPr>
      </w:pPr>
      <w:r>
        <w:rPr>
          <w:rFonts w:cs="Times New Roman" w:ascii="Times New Roman" w:hAnsi="Times New Roman"/>
          <w:sz w:val="28"/>
        </w:rPr>
        <w:t>QUALIFICATIONS</w:t>
      </w:r>
    </w:p>
    <w:p>
      <w:pPr>
        <w:pStyle w:val="Heading6"/>
        <w:rPr>
          <w:rFonts w:ascii="Times New Roman" w:hAnsi="Times New Roman" w:cs="Times New Roman"/>
          <w:sz w:val="28"/>
        </w:rPr>
      </w:pPr>
      <w:r>
        <w:rPr>
          <w:rFonts w:cs="Times New Roman" w:ascii="Times New Roman" w:hAnsi="Times New Roman"/>
          <w:sz w:val="28"/>
        </w:rPr>
        <w:t>OF</w:t>
      </w:r>
    </w:p>
    <w:p>
      <w:pPr>
        <w:pStyle w:val="Normal"/>
        <w:ind w:firstLine="720" w:end="0"/>
        <w:jc w:val="center"/>
        <w:rPr>
          <w:b/>
          <w:sz w:val="28"/>
        </w:rPr>
      </w:pPr>
      <w:r>
        <w:rPr>
          <w:b/>
          <w:sz w:val="28"/>
        </w:rPr>
        <w:t>WILLIAM GIBSON</w:t>
      </w:r>
    </w:p>
    <w:p>
      <w:pPr>
        <w:pStyle w:val="Normal"/>
        <w:spacing w:lineRule="auto" w:line="360"/>
        <w:ind w:hanging="810" w:start="810" w:end="0"/>
        <w:rPr/>
      </w:pPr>
      <w:r>
        <w:rPr>
          <w:b/>
        </w:rPr>
        <w:t>Q.1</w:t>
      </w:r>
      <w:r>
        <w:rPr/>
        <w:tab/>
        <w:t>Please state your name and business address.</w:t>
      </w:r>
    </w:p>
    <w:p>
      <w:pPr>
        <w:pStyle w:val="Normal"/>
        <w:spacing w:lineRule="auto" w:line="360"/>
        <w:ind w:hanging="810" w:start="810" w:end="0"/>
        <w:rPr/>
      </w:pPr>
      <w:r>
        <w:rPr>
          <w:b/>
        </w:rPr>
        <w:t>A.1</w:t>
      </w:r>
      <w:r>
        <w:rPr/>
        <w:tab/>
        <w:t>My name is William E. Gibson.  My business address is 505 Van Ness Avenue, San Francisco, California 94102-3298.</w:t>
      </w:r>
    </w:p>
    <w:p>
      <w:pPr>
        <w:pStyle w:val="Normal"/>
        <w:spacing w:lineRule="auto" w:line="360"/>
        <w:ind w:hanging="810" w:start="810" w:end="0"/>
        <w:rPr/>
      </w:pPr>
      <w:r>
        <w:rPr>
          <w:b/>
        </w:rPr>
        <w:t>Q.2</w:t>
      </w:r>
      <w:r>
        <w:rPr/>
        <w:tab/>
        <w:t>By whom are you employed and in what capacity?</w:t>
      </w:r>
    </w:p>
    <w:p>
      <w:pPr>
        <w:pStyle w:val="Normal"/>
        <w:spacing w:lineRule="auto" w:line="360"/>
        <w:ind w:hanging="810" w:start="810" w:end="0"/>
        <w:rPr/>
      </w:pPr>
      <w:r>
        <w:rPr>
          <w:b/>
        </w:rPr>
        <w:t>Q.2</w:t>
      </w:r>
      <w:r>
        <w:rPr/>
        <w:tab/>
        <w:t>The California Public Utilities Commission employs me as a Senior Utilities Engineer in the Office of Ratepayer Advocates.</w:t>
      </w:r>
    </w:p>
    <w:p>
      <w:pPr>
        <w:pStyle w:val="Normal"/>
        <w:spacing w:lineRule="auto" w:line="360"/>
        <w:ind w:hanging="810" w:start="810" w:end="0"/>
        <w:rPr/>
      </w:pPr>
      <w:r>
        <w:rPr>
          <w:b/>
        </w:rPr>
        <w:t>Q.3</w:t>
      </w:r>
      <w:r>
        <w:rPr/>
        <w:tab/>
        <w:t>Please describe your educational background and professional experience.</w:t>
      </w:r>
    </w:p>
    <w:p>
      <w:pPr>
        <w:pStyle w:val="Normal"/>
        <w:spacing w:lineRule="auto" w:line="360"/>
        <w:ind w:hanging="810" w:start="810" w:end="0"/>
        <w:rPr/>
      </w:pPr>
      <w:r>
        <w:rPr>
          <w:b/>
        </w:rPr>
        <w:t>A.3</w:t>
      </w:r>
      <w:r>
        <w:rPr/>
        <w:tab/>
        <w:t xml:space="preserve">In 1983, I received BS in Mechanical Engineering from the University of Maine.  I attended NERA’s “Marginal Cost Ratemaking in a Competitive World” course in April of 1995.  I am a registered Professional Engineer.  The CPUC has employed me for 13 years.  I first joined the CPUC staff in May of 1984 and worked on numerous electric, gas and water utility proceedings.  I performed cost analyses for a number of utility functions including plant, rate base, and depreciation; operational, maintenance, administrative and general expenses; fuel related expenses; marginal costing of electric services; and demand-side management costs.  I held increasingly responsible positions within the CPUC and the CPUC promoted me to Senior Utilities Engineer in January of 1992.  In July of 1994, I resigned from the CPUC and joined the Maine Public Utilities Commission as a Technical Analyst.  I served the MPUC as an electric utility advocate and as a Commission advisor on gas and water utility issues.  While at the MPUC, I worked primarily in the areas of electric resource planning and production cost modeling; marginal costing of electric services; revenue allocation and rate design; flexible pricing; service quality; and electric industry restructuring.  I have testified on numerous occasions before both the CPUC and the MPUC.  In March of 1998, the CPUC reinstated me to my current position. </w:t>
      </w:r>
    </w:p>
    <w:p>
      <w:pPr>
        <w:pStyle w:val="Normal"/>
        <w:spacing w:lineRule="auto" w:line="360"/>
        <w:ind w:hanging="810" w:start="810" w:end="0"/>
        <w:rPr/>
      </w:pPr>
      <w:r>
        <w:rPr>
          <w:b/>
        </w:rPr>
        <w:t>Q.4</w:t>
      </w:r>
      <w:r>
        <w:rPr/>
        <w:tab/>
        <w:t>What is the purpose of your testimony?</w:t>
      </w:r>
    </w:p>
    <w:p>
      <w:pPr>
        <w:pStyle w:val="Normal"/>
        <w:spacing w:lineRule="auto" w:line="360"/>
        <w:ind w:hanging="810" w:start="810" w:end="0"/>
        <w:rPr/>
      </w:pPr>
      <w:r>
        <w:rPr>
          <w:b/>
        </w:rPr>
        <w:t>A.4</w:t>
      </w:r>
      <w:r>
        <w:rPr/>
        <w:tab/>
        <w:t>I am sponsoring Chapter 6, Large Light and Power Rate Design.</w:t>
      </w:r>
    </w:p>
    <w:p>
      <w:pPr>
        <w:pStyle w:val="Normal"/>
        <w:spacing w:lineRule="auto" w:line="360"/>
        <w:ind w:hanging="810" w:start="810" w:end="0"/>
        <w:rPr/>
      </w:pPr>
      <w:r>
        <w:rPr>
          <w:b/>
        </w:rPr>
        <w:t>Q.5</w:t>
      </w:r>
      <w:r>
        <w:rPr/>
        <w:tab/>
        <w:t>Does this complete your testimony?</w:t>
      </w:r>
    </w:p>
    <w:p>
      <w:pPr>
        <w:sectPr>
          <w:footerReference w:type="default" r:id="rId42"/>
          <w:footerReference w:type="first" r:id="rId43"/>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ind w:hanging="810" w:start="810" w:end="0"/>
        <w:rPr/>
      </w:pPr>
      <w:r>
        <w:rPr>
          <w:b/>
        </w:rPr>
        <w:t>A.6</w:t>
      </w:r>
      <w:r>
        <w:rPr/>
        <w:tab/>
        <w:t>Yes, it does.</w:t>
      </w:r>
    </w:p>
    <w:p>
      <w:pPr>
        <w:pStyle w:val="Heading6"/>
        <w:rPr>
          <w:rFonts w:ascii="Times New Roman" w:hAnsi="Times New Roman" w:cs="Times New Roman"/>
          <w:sz w:val="28"/>
        </w:rPr>
      </w:pPr>
      <w:r>
        <w:rPr>
          <w:rFonts w:cs="Times New Roman" w:ascii="Times New Roman" w:hAnsi="Times New Roman"/>
          <w:sz w:val="28"/>
        </w:rPr>
        <w:t>QUALIFICATIONS</w:t>
      </w:r>
    </w:p>
    <w:p>
      <w:pPr>
        <w:pStyle w:val="Heading6"/>
        <w:rPr>
          <w:rFonts w:ascii="Times New Roman" w:hAnsi="Times New Roman" w:cs="Times New Roman"/>
          <w:sz w:val="28"/>
        </w:rPr>
      </w:pPr>
      <w:r>
        <w:rPr>
          <w:rFonts w:cs="Times New Roman" w:ascii="Times New Roman" w:hAnsi="Times New Roman"/>
          <w:sz w:val="28"/>
        </w:rPr>
        <w:t>OF</w:t>
      </w:r>
    </w:p>
    <w:p>
      <w:pPr>
        <w:pStyle w:val="Normal"/>
        <w:ind w:firstLine="720" w:end="0"/>
        <w:jc w:val="center"/>
        <w:rPr>
          <w:b/>
          <w:sz w:val="28"/>
        </w:rPr>
      </w:pPr>
      <w:r>
        <w:rPr>
          <w:b/>
          <w:sz w:val="28"/>
        </w:rPr>
        <w:t>LOUISE C. HUEN</w:t>
      </w:r>
    </w:p>
    <w:p>
      <w:pPr>
        <w:pStyle w:val="Normal"/>
        <w:jc w:val="center"/>
        <w:rPr>
          <w:b/>
          <w:sz w:val="28"/>
        </w:rPr>
      </w:pPr>
      <w:r>
        <w:rPr>
          <w:b/>
          <w:sz w:val="28"/>
        </w:rPr>
      </w:r>
    </w:p>
    <w:p>
      <w:pPr>
        <w:pStyle w:val="Normal"/>
        <w:jc w:val="center"/>
        <w:rPr>
          <w:b/>
        </w:rPr>
      </w:pPr>
      <w:r>
        <w:rPr>
          <w:b/>
        </w:rPr>
      </w:r>
    </w:p>
    <w:p>
      <w:pPr>
        <w:pStyle w:val="Normal"/>
        <w:spacing w:lineRule="auto" w:line="360"/>
        <w:rPr/>
      </w:pPr>
      <w:r>
        <w:rPr>
          <w:b/>
        </w:rPr>
        <w:t>Q.1</w:t>
      </w:r>
      <w:r>
        <w:rPr/>
        <w:tab/>
        <w:t>Please state your name and business address.</w:t>
      </w:r>
    </w:p>
    <w:p>
      <w:pPr>
        <w:pStyle w:val="Normal"/>
        <w:spacing w:lineRule="auto" w:line="360"/>
        <w:ind w:hanging="720" w:start="720" w:end="0"/>
        <w:rPr/>
      </w:pPr>
      <w:r>
        <w:rPr>
          <w:b/>
        </w:rPr>
        <w:t>A.1</w:t>
      </w:r>
      <w:r>
        <w:rPr/>
        <w:tab/>
        <w:t>My name is Louise Huen. My business address is 505 Van Ness Avenue, San Francisco, CA 94102.</w:t>
      </w:r>
    </w:p>
    <w:p>
      <w:pPr>
        <w:pStyle w:val="Normal"/>
        <w:spacing w:lineRule="auto" w:line="360"/>
        <w:rPr/>
      </w:pPr>
      <w:r>
        <w:rPr>
          <w:b/>
        </w:rPr>
        <w:t>Q.2</w:t>
      </w:r>
      <w:r>
        <w:rPr/>
        <w:tab/>
        <w:t>By whom are you employed and in what capacity?</w:t>
      </w:r>
    </w:p>
    <w:p>
      <w:pPr>
        <w:pStyle w:val="Normal"/>
        <w:spacing w:lineRule="auto" w:line="360"/>
        <w:rPr/>
      </w:pPr>
      <w:r>
        <w:rPr>
          <w:b/>
        </w:rPr>
        <w:t>A.2</w:t>
      </w:r>
      <w:r>
        <w:rPr/>
        <w:tab/>
        <w:t xml:space="preserve">I am employed by the California Public Utilities Commission as a Senior Utilities </w:t>
      </w:r>
    </w:p>
    <w:p>
      <w:pPr>
        <w:pStyle w:val="Normal"/>
        <w:spacing w:lineRule="auto" w:line="360"/>
        <w:ind w:start="720" w:end="0"/>
        <w:rPr/>
      </w:pPr>
      <w:r>
        <w:rPr/>
        <w:t>Engineer in the Market Development Branch of the Office of Ratepayer Advocates.</w:t>
      </w:r>
    </w:p>
    <w:p>
      <w:pPr>
        <w:pStyle w:val="Normal"/>
        <w:spacing w:lineRule="auto" w:line="360"/>
        <w:rPr/>
      </w:pPr>
      <w:r>
        <w:rPr>
          <w:b/>
        </w:rPr>
        <w:t>Q.3</w:t>
      </w:r>
      <w:r>
        <w:rPr/>
        <w:tab/>
        <w:t>Briefly state your educational background and experience.</w:t>
      </w:r>
    </w:p>
    <w:p>
      <w:pPr>
        <w:pStyle w:val="Normal"/>
        <w:spacing w:lineRule="auto" w:line="360"/>
        <w:rPr/>
      </w:pPr>
      <w:r>
        <w:rPr>
          <w:b/>
        </w:rPr>
        <w:t>A.3</w:t>
      </w:r>
      <w:r>
        <w:rPr/>
        <w:tab/>
        <w:t xml:space="preserve">I have a Bachelor of Science Degree in Civil Engineering from the University of </w:t>
      </w:r>
    </w:p>
    <w:p>
      <w:pPr>
        <w:pStyle w:val="Normal"/>
        <w:spacing w:lineRule="auto" w:line="360"/>
        <w:ind w:start="720" w:end="0"/>
        <w:rPr/>
      </w:pPr>
      <w:r>
        <w:rPr/>
        <w:t>California at Berkeley.  I have worked at the California Public Utilities Commission since 1976 in a number of areas, including environmental impact assessment proceedings covering power plant certification and transmission line siting, Demand Side Management Programs Proceedings, QF Contract Reasonableness Review, General Rate Case Proceedings, and Energy Cost Adjustment Clauses Proceedings.</w:t>
      </w:r>
    </w:p>
    <w:p>
      <w:pPr>
        <w:pStyle w:val="Normal"/>
        <w:spacing w:lineRule="auto" w:line="360"/>
        <w:ind w:hanging="720" w:start="720" w:end="0"/>
        <w:rPr/>
      </w:pPr>
      <w:r>
        <w:rPr>
          <w:b/>
        </w:rPr>
        <w:t>Q.4</w:t>
      </w:r>
      <w:r>
        <w:rPr/>
        <w:tab/>
        <w:t>Are you a registered professional engineer?</w:t>
      </w:r>
    </w:p>
    <w:p>
      <w:pPr>
        <w:pStyle w:val="Normal"/>
        <w:spacing w:lineRule="auto" w:line="360"/>
        <w:ind w:hanging="720" w:start="720" w:end="0"/>
        <w:rPr/>
      </w:pPr>
      <w:r>
        <w:rPr>
          <w:b/>
        </w:rPr>
        <w:t>A.4</w:t>
      </w:r>
      <w:r>
        <w:rPr/>
        <w:tab/>
        <w:t>Yes.  I am registered in California in the field of Civil Engineering.</w:t>
      </w:r>
    </w:p>
    <w:p>
      <w:pPr>
        <w:pStyle w:val="Normal"/>
        <w:spacing w:lineRule="auto" w:line="360"/>
        <w:ind w:hanging="720" w:start="720" w:end="0"/>
        <w:rPr/>
      </w:pPr>
      <w:r>
        <w:rPr>
          <w:b/>
        </w:rPr>
        <w:t>Q.5</w:t>
      </w:r>
      <w:r>
        <w:rPr/>
        <w:tab/>
        <w:t>What is the purpose of your testimony?</w:t>
      </w:r>
    </w:p>
    <w:p>
      <w:pPr>
        <w:pStyle w:val="Normal"/>
        <w:spacing w:lineRule="auto" w:line="360"/>
        <w:ind w:hanging="720" w:start="720" w:end="0"/>
        <w:rPr/>
      </w:pPr>
      <w:r>
        <w:rPr>
          <w:b/>
        </w:rPr>
        <w:t>A.5</w:t>
      </w:r>
      <w:r>
        <w:rPr/>
        <w:tab/>
        <w:t>I am to sponsor Chapter 7,“Small and Medium Light and Power Rate Design”, of the report entitled “Test Year 1999 General Rate Case – Phase 2 for PG&amp;E” by the Office of Ratepayer Advocates.</w:t>
      </w:r>
    </w:p>
    <w:p>
      <w:pPr>
        <w:pStyle w:val="Normal"/>
        <w:spacing w:lineRule="auto" w:line="360"/>
        <w:ind w:hanging="720" w:start="720" w:end="0"/>
        <w:rPr/>
      </w:pPr>
      <w:r>
        <w:rPr>
          <w:b/>
        </w:rPr>
        <w:t>Q.7</w:t>
      </w:r>
      <w:r>
        <w:rPr/>
        <w:tab/>
        <w:t>Does that conclude your testimony?</w:t>
      </w:r>
    </w:p>
    <w:p>
      <w:pPr>
        <w:pStyle w:val="Normal"/>
        <w:spacing w:lineRule="auto" w:line="360"/>
        <w:ind w:hanging="720" w:start="720" w:end="0"/>
        <w:rPr/>
      </w:pPr>
      <w:r>
        <w:rPr>
          <w:b/>
        </w:rPr>
        <w:t>A.7</w:t>
      </w:r>
      <w:r>
        <w:rPr/>
        <w:tab/>
        <w:t>Yes, at this time.</w:t>
      </w:r>
    </w:p>
    <w:p>
      <w:pPr>
        <w:pStyle w:val="Normal"/>
        <w:spacing w:lineRule="auto" w:line="360"/>
        <w:ind w:start="720" w:end="0"/>
        <w:rPr/>
      </w:pPr>
      <w:r>
        <w:rPr/>
      </w:r>
    </w:p>
    <w:p>
      <w:pPr>
        <w:sectPr>
          <w:footerReference w:type="default" r:id="rId44"/>
          <w:footerReference w:type="first" r:id="rId45"/>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rPr/>
      </w:pPr>
      <w:r>
        <w:rPr/>
      </w:r>
    </w:p>
    <w:p>
      <w:pPr>
        <w:pStyle w:val="Heading"/>
        <w:rPr>
          <w:sz w:val="28"/>
        </w:rPr>
      </w:pPr>
      <w:r>
        <w:rPr>
          <w:sz w:val="28"/>
        </w:rPr>
        <w:t>QUALIFICATIONS</w:t>
      </w:r>
    </w:p>
    <w:p>
      <w:pPr>
        <w:pStyle w:val="Heading"/>
        <w:rPr>
          <w:sz w:val="28"/>
        </w:rPr>
      </w:pPr>
      <w:r>
        <w:rPr>
          <w:sz w:val="28"/>
        </w:rPr>
        <w:t>OF</w:t>
      </w:r>
    </w:p>
    <w:p>
      <w:pPr>
        <w:pStyle w:val="Normal"/>
        <w:jc w:val="center"/>
        <w:rPr>
          <w:b/>
          <w:sz w:val="28"/>
        </w:rPr>
      </w:pPr>
      <w:r>
        <w:rPr>
          <w:b/>
          <w:sz w:val="28"/>
        </w:rPr>
        <w:t>ROY EVANS</w:t>
      </w:r>
    </w:p>
    <w:p>
      <w:pPr>
        <w:pStyle w:val="Normal"/>
        <w:rPr>
          <w:b/>
          <w:sz w:val="28"/>
        </w:rPr>
      </w:pPr>
      <w:r>
        <w:rPr>
          <w:b/>
          <w:sz w:val="28"/>
        </w:rPr>
      </w:r>
    </w:p>
    <w:p>
      <w:pPr>
        <w:pStyle w:val="Normal"/>
        <w:spacing w:lineRule="auto" w:line="360"/>
        <w:rPr/>
      </w:pPr>
      <w:r>
        <w:rPr>
          <w:b/>
        </w:rPr>
        <w:t>Q.1</w:t>
        <w:tab/>
      </w:r>
      <w:r>
        <w:rPr/>
        <w:t>Please state your name and business address.</w:t>
      </w:r>
    </w:p>
    <w:p>
      <w:pPr>
        <w:pStyle w:val="BodyTextIndent3"/>
        <w:spacing w:lineRule="auto" w:line="360"/>
        <w:ind w:start="720" w:end="0"/>
        <w:rPr/>
      </w:pPr>
      <w:r>
        <w:rPr>
          <w:rFonts w:cs="Times New Roman" w:ascii="Times New Roman" w:hAnsi="Times New Roman"/>
          <w:b/>
        </w:rPr>
        <w:t>A.1</w:t>
      </w:r>
      <w:r>
        <w:rPr>
          <w:rFonts w:cs="Times New Roman" w:ascii="Times New Roman" w:hAnsi="Times New Roman"/>
        </w:rPr>
        <w:tab/>
        <w:t>My name is Roy Evans.  My business address is 505 Van Ness Avenue, San Francisco, California 94102.</w:t>
      </w:r>
    </w:p>
    <w:p>
      <w:pPr>
        <w:pStyle w:val="BodyTextIndent3"/>
        <w:spacing w:lineRule="auto" w:line="360"/>
        <w:rPr>
          <w:rFonts w:ascii="Times New Roman" w:hAnsi="Times New Roman" w:cs="Times New Roman"/>
        </w:rPr>
      </w:pPr>
      <w:r>
        <w:rPr>
          <w:rFonts w:cs="Times New Roman" w:ascii="Times New Roman" w:hAnsi="Times New Roman"/>
        </w:rPr>
      </w:r>
    </w:p>
    <w:p>
      <w:pPr>
        <w:pStyle w:val="Normal"/>
        <w:spacing w:lineRule="auto" w:line="360"/>
        <w:rPr/>
      </w:pPr>
      <w:r>
        <w:rPr>
          <w:b/>
        </w:rPr>
        <w:t>Q.2</w:t>
      </w:r>
      <w:r>
        <w:rPr/>
        <w:tab/>
        <w:t xml:space="preserve">By whom are you employed and in what capacity?  </w:t>
      </w:r>
    </w:p>
    <w:p>
      <w:pPr>
        <w:pStyle w:val="BodyTextIndent3"/>
        <w:spacing w:lineRule="auto" w:line="360"/>
        <w:ind w:start="720" w:end="0"/>
        <w:rPr/>
      </w:pPr>
      <w:r>
        <w:rPr>
          <w:rFonts w:cs="Times New Roman" w:ascii="Times New Roman" w:hAnsi="Times New Roman"/>
          <w:b/>
        </w:rPr>
        <w:t>A.2</w:t>
      </w:r>
      <w:r>
        <w:rPr>
          <w:rFonts w:cs="Times New Roman" w:ascii="Times New Roman" w:hAnsi="Times New Roman"/>
        </w:rPr>
        <w:tab/>
        <w:t>The California Public Utilities Commission employs me as a Senior Utilities Engineer in the Monopoly Regulation Branch of the Office of Ratepayer Advocates.</w:t>
      </w:r>
    </w:p>
    <w:p>
      <w:pPr>
        <w:pStyle w:val="BodyTextIndent3"/>
        <w:spacing w:lineRule="auto" w:line="360"/>
        <w:rPr>
          <w:rFonts w:ascii="Times New Roman" w:hAnsi="Times New Roman" w:cs="Times New Roman"/>
        </w:rPr>
      </w:pPr>
      <w:r>
        <w:rPr>
          <w:rFonts w:cs="Times New Roman" w:ascii="Times New Roman" w:hAnsi="Times New Roman"/>
        </w:rPr>
      </w:r>
    </w:p>
    <w:p>
      <w:pPr>
        <w:pStyle w:val="Normal"/>
        <w:spacing w:lineRule="auto" w:line="360"/>
        <w:rPr/>
      </w:pPr>
      <w:r>
        <w:rPr>
          <w:b/>
        </w:rPr>
        <w:t>Q.3</w:t>
      </w:r>
      <w:r>
        <w:rPr/>
        <w:tab/>
        <w:t xml:space="preserve">Please describe your educational and professional experience. </w:t>
      </w:r>
    </w:p>
    <w:p>
      <w:pPr>
        <w:pStyle w:val="BodyTextIndent3"/>
        <w:spacing w:lineRule="auto" w:line="360"/>
        <w:ind w:start="720" w:end="0"/>
        <w:rPr/>
      </w:pPr>
      <w:r>
        <w:rPr>
          <w:rFonts w:cs="Times New Roman" w:ascii="Times New Roman" w:hAnsi="Times New Roman"/>
          <w:b/>
        </w:rPr>
        <w:t>A.3</w:t>
      </w:r>
      <w:r>
        <w:rPr>
          <w:rFonts w:cs="Times New Roman" w:ascii="Times New Roman" w:hAnsi="Times New Roman"/>
        </w:rPr>
        <w:tab/>
        <w:t>I graduated from the University of California at Los Angeles with a Bachelor of Science Degree in Engineering.  I am registered as a professional (Civil) engineer in the State of California.  I have worked for the Commission since 1982, in the Transportation, Safety, and ORA Divisions.  I have prepared various reports and testified as an expert witness before the Commission.</w:t>
      </w:r>
    </w:p>
    <w:p>
      <w:pPr>
        <w:pStyle w:val="Normal"/>
        <w:spacing w:lineRule="auto" w:line="360"/>
        <w:ind w:start="1440" w:end="0"/>
        <w:rPr>
          <w:rFonts w:ascii="Times New Roman" w:hAnsi="Times New Roman" w:cs="Times New Roman"/>
        </w:rPr>
      </w:pPr>
      <w:r>
        <w:rPr>
          <w:rFonts w:cs="Times New Roman"/>
        </w:rPr>
      </w:r>
    </w:p>
    <w:p>
      <w:pPr>
        <w:pStyle w:val="Normal"/>
        <w:spacing w:lineRule="auto" w:line="360"/>
        <w:rPr/>
      </w:pPr>
      <w:r>
        <w:rPr>
          <w:b/>
        </w:rPr>
        <w:t>Q.4</w:t>
      </w:r>
      <w:r>
        <w:rPr/>
        <w:tab/>
        <w:t>What is your area of responsibility in this proceeding?</w:t>
      </w:r>
    </w:p>
    <w:p>
      <w:pPr>
        <w:pStyle w:val="BodyTextIndent3"/>
        <w:spacing w:lineRule="auto" w:line="360"/>
        <w:ind w:start="720" w:end="0"/>
        <w:rPr/>
      </w:pPr>
      <w:r>
        <w:rPr>
          <w:rFonts w:cs="Times New Roman" w:ascii="Times New Roman" w:hAnsi="Times New Roman"/>
          <w:b/>
        </w:rPr>
        <w:t>A.4</w:t>
      </w:r>
      <w:r>
        <w:rPr>
          <w:rFonts w:cs="Times New Roman" w:ascii="Times New Roman" w:hAnsi="Times New Roman"/>
        </w:rPr>
        <w:tab/>
        <w:t>I am sponsoring Chapter 9, Street Lighting.</w:t>
      </w:r>
    </w:p>
    <w:p>
      <w:pPr>
        <w:pStyle w:val="BodyTextIndent3"/>
        <w:spacing w:lineRule="auto" w:line="360"/>
        <w:ind w:start="720" w:end="0"/>
        <w:rPr>
          <w:rFonts w:ascii="Times New Roman" w:hAnsi="Times New Roman" w:cs="Times New Roman"/>
        </w:rPr>
      </w:pPr>
      <w:r>
        <w:rPr>
          <w:rFonts w:cs="Times New Roman" w:ascii="Times New Roman" w:hAnsi="Times New Roman"/>
        </w:rPr>
      </w:r>
    </w:p>
    <w:p>
      <w:pPr>
        <w:pStyle w:val="Normal"/>
        <w:spacing w:lineRule="auto" w:line="360"/>
        <w:rPr/>
      </w:pPr>
      <w:r>
        <w:rPr>
          <w:b/>
        </w:rPr>
        <w:t>Q.5</w:t>
      </w:r>
      <w:r>
        <w:rPr/>
        <w:tab/>
        <w:t>Does this complete your testimony?</w:t>
      </w:r>
    </w:p>
    <w:p>
      <w:pPr>
        <w:sectPr>
          <w:footerReference w:type="default" r:id="rId46"/>
          <w:footerReference w:type="first" r:id="rId47"/>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pStyle w:val="Normal"/>
        <w:spacing w:lineRule="auto" w:line="360"/>
        <w:ind w:hanging="720" w:start="720" w:end="0"/>
        <w:rPr/>
      </w:pPr>
      <w:r>
        <w:rPr>
          <w:b/>
        </w:rPr>
        <w:t>A.5</w:t>
        <w:tab/>
      </w:r>
      <w:r>
        <w:rPr/>
        <w:t>Yes, it does.</w:t>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t>APPENDIX B</w:t>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p>
    <w:p>
      <w:pPr>
        <w:pStyle w:val="Normal"/>
        <w:widowControl w:val="false"/>
        <w:tabs>
          <w:tab w:val="clear" w:pos="720"/>
          <w:tab w:val="left" w:pos="360" w:leader="none"/>
          <w:tab w:val="left" w:pos="1080" w:leader="none"/>
          <w:tab w:val="left" w:pos="6480" w:leader="none"/>
          <w:tab w:val="left" w:pos="7200" w:leader="none"/>
        </w:tabs>
        <w:jc w:val="center"/>
        <w:rPr>
          <w:b/>
          <w:sz w:val="28"/>
        </w:rPr>
      </w:pPr>
      <w:r>
        <w:rPr>
          <w:b/>
          <w:sz w:val="28"/>
        </w:rPr>
      </w:r>
      <w:r>
        <w:br w:type="page"/>
      </w:r>
    </w:p>
    <w:p>
      <w:pPr>
        <w:pStyle w:val="BodyText3"/>
        <w:widowControl/>
        <w:spacing w:lineRule="auto" w:line="240"/>
        <w:rPr/>
      </w:pPr>
      <w:r>
        <w:rPr/>
        <w:t>Comments on the PG&amp;E Computer Model,</w:t>
      </w:r>
    </w:p>
    <w:p>
      <w:pPr>
        <w:pStyle w:val="BodyText3"/>
        <w:widowControl/>
        <w:spacing w:lineRule="auto" w:line="240"/>
        <w:rPr/>
      </w:pPr>
      <w:r>
        <w:rPr/>
        <w:t>the IRM (Integrated Rate Model)</w:t>
      </w:r>
    </w:p>
    <w:p>
      <w:pPr>
        <w:pStyle w:val="Normal"/>
        <w:rPr>
          <w:b/>
          <w:u w:val="single"/>
        </w:rPr>
      </w:pPr>
      <w:r>
        <w:rPr>
          <w:b/>
          <w:u w:val="single"/>
        </w:rPr>
      </w:r>
    </w:p>
    <w:p>
      <w:pPr>
        <w:pStyle w:val="BodyText"/>
        <w:spacing w:before="0" w:after="0"/>
        <w:rPr/>
      </w:pPr>
      <w:r>
        <w:rPr/>
        <w:t>The Commission is concerned that the computer models used by utilities in setting rates have become too complex for outsiders to understand</w:t>
      </w:r>
      <w:r>
        <w:rPr>
          <w:rStyle w:val="FootnoteCharacters"/>
          <w:rStyle w:val="FootnoteReference"/>
        </w:rPr>
        <w:footnoteReference w:id="64"/>
      </w:r>
      <w:r>
        <w:rPr/>
        <w:t>.  The programs were becoming “black boxes”, with it being impossible to tell what was really going on inside.  In fact, no one person, even at the utility that produced the program, completely understood what was going on, as various aspects of the box were written by different programmers.  In this case a workshop was held at which ALJ Gottstein ordered PG&amp;E to develop a program that was easily understandable and in which intervenors could make changes in assumptions or inputs and find out the effect on rates.  PG&amp;E’s response to this was its “Integrated Rate Model”. (IRM).  The IRM has been revised several times, and is now in at least its tenth version.  PG&amp;E has apparently devoted hundreds of labor hours to this project.  ORA deserves some credit as “beta” testers of the IRM, helping PG&amp;E to debug it.</w:t>
      </w:r>
    </w:p>
    <w:p>
      <w:pPr>
        <w:pStyle w:val="BodyText"/>
        <w:spacing w:before="0" w:after="0"/>
        <w:rPr/>
      </w:pPr>
      <w:r>
        <w:rPr/>
        <w:t xml:space="preserve">The IRM is a significant step forward in allowing outsiders to understand the workings of utility rate setting.  It is written using Microsoft Excel worksheets, which are generally, understood even by semi-competent programmers like this witness.  It can be run on a personal computer, rather than requiring a mainframe like the utility programs of the recent past.  And it makes possible, once the Commission has decided which available options to use an almost immediate calculation of the rates to all customer classes.  In addition, the IRM makes possible rapid calculations of the effects on the different rate classes of changes of the PX energy prices.  This has been especially relevant given the doubling of these prices in the last few months.  </w:t>
      </w:r>
    </w:p>
    <w:p>
      <w:pPr>
        <w:pStyle w:val="BodyText"/>
        <w:spacing w:before="0" w:after="0"/>
        <w:rPr/>
      </w:pPr>
      <w:r>
        <w:rPr/>
        <w:t>However major problems remain.   The program is still somewhat unwieldy, and any computation of rates, if traced back through the program, involves input from some utility “black box”.  And the IRM, although this may be inherent in any such program, makes it difficult to test any  “outside the box” option.</w:t>
      </w:r>
    </w:p>
    <w:p>
      <w:pPr>
        <w:pStyle w:val="BodyText"/>
        <w:spacing w:before="0" w:after="0"/>
        <w:rPr/>
      </w:pPr>
      <w:r>
        <w:rPr/>
        <w:t>One goal of the IRM was to produce a model with “toggles” or settings on a control page where an intervenor would test various combinations of ratesetting inputs and methods to get the final result.  At the workshop and since that time, ORA and other intervenors have made suggestions or data requests that have been incorporated in the program.  At present, there is one three position toggle and eleven two position toggles.  This results in 3 x 2 to the eleventh power possible toggle combinations, or 6,144 possible toggle combinations.  On one hand, all these combinations might not be consistent, so the realistic options are considerable less than this.  On the other hand, many of the toggles give access to a table where an operator can change a value from PG&amp;E’s assumed values for some input variable.   Thus some of the toggles have, in effect, many more than two possible settings.</w:t>
      </w:r>
    </w:p>
    <w:p>
      <w:pPr>
        <w:pStyle w:val="BodyText"/>
        <w:spacing w:before="0" w:after="0"/>
        <w:rPr/>
      </w:pPr>
      <w:r>
        <w:rPr/>
        <w:t>This has resulted in a program with over 200 interlinked spreadsheets.  It is often difficult to check backwards though these sheets to see what is really being done in a computation.  Also, the program was not written to clearly indicate intermediate values.  For example, one can change a toggle and see the effects on the final results, but it isn’t clear how these results came through the program.  In some cases, one has to find out what formula is being used in some cell or cells, and then compute what the values were at different steps along the way, rather than being able to directly read the intermediate results.</w:t>
      </w:r>
    </w:p>
    <w:p>
      <w:pPr>
        <w:pStyle w:val="BodyText"/>
        <w:spacing w:before="0" w:after="0"/>
        <w:rPr/>
      </w:pPr>
      <w:r>
        <w:rPr/>
        <w:t>Are 6,144 toggle combinations adequate to examine all possibilities?  No, because the model still doesn’t allow “out of the box” thinking.  This would be true of any practical computer model.  The IRM assumes the use of the EPMC theory for rate setting, but allows some secondary modifications to be made.  Major changes are difficult.  For example, the latest SCE rate filing proposes a significantly different approach with the “replacement cost new” of the SCE distribution system as a major input.  It would be interesting to see what PG&amp;E rates would look like if they used the SCE proposed approach.  But it is not possible to use the IRM to check this.  This is because the IRM doesn’t have any data in it giving the replacement costs of the PG&amp;E distribution system.  In fact, PG&amp;E says it doesn’t know its replacement costs in a form that is consistent with the SCE proposal.  This is not a criticism of PG&amp;E’s IRM specifically, but points out that major changes in the rate setting method may require additional data input, and that data might require a significant amount of effort and time to gather.</w:t>
      </w:r>
    </w:p>
    <w:p>
      <w:pPr>
        <w:pStyle w:val="BodyText"/>
        <w:spacing w:before="0" w:after="0"/>
        <w:rPr/>
      </w:pPr>
      <w:r>
        <w:rPr/>
        <w:t>Another criticism of computer models in general is that they give a false sense of accuracy.  Even if the theory is faulty, and the inputs inaccurate, the results can be calculated to 6 decimal places with a false impression of precision</w:t>
      </w:r>
    </w:p>
    <w:p>
      <w:pPr>
        <w:pStyle w:val="BodyText"/>
        <w:spacing w:before="0" w:after="0"/>
        <w:rPr/>
      </w:pPr>
      <w:r>
        <w:rPr/>
        <w:t>Another problem with the IRM is the time delay for the addition of a toggle.  It usually takes two weeks for PG&amp;E to add a toggle in response to an intervenor request.  Often, the toggle doesn’t work as expected the first time, and another delay or two happens.  This is to be expected, because with an increasingly complex model, changes in one part often have unanticipated effects on other parts of the model.   The ideal model would be so simple that anyone could make changes and run it immediately.  This witness worked on a recent San Diego Gas and Electric (SDG&amp;E) Rate Design Window, and was able to do this for several changes.  The SDG&amp;E model was 24 sheets, most of which were single tables of input without calculations embedded on them.  However, the SDG&amp;E distribution system has far less diversity than PG&amp;E, and the range of issues and options was less extensive than in this case.  And an advantage of doing things the PG&amp;E IRM way is that all proposals (toggles) are available to all intervenors.  And both PG&amp;E and the intervenor have checked each proposal, and thus there is less possibility of programming error.</w:t>
      </w:r>
    </w:p>
    <w:p>
      <w:pPr>
        <w:pStyle w:val="BodyText"/>
        <w:spacing w:before="0" w:after="0"/>
        <w:rPr/>
      </w:pPr>
      <w:r>
        <w:rPr/>
        <w:t xml:space="preserve">Another possible problem with having PG&amp;E write all additions to the IRM is that this gives them a “heads up” on what intervenors are going to argue.  This is not to say a General Rate Case is a billion-dollar “poker” game.  But the intervenors, and even PG&amp;E have limited resources and staff time.  So it is valuable to each participant to have the earliest possible idea of what arguments will have to be studied and analyzed, and to prioritize the issues.  </w:t>
      </w:r>
    </w:p>
    <w:p>
      <w:pPr>
        <w:pStyle w:val="BodyText"/>
        <w:spacing w:before="0" w:after="0"/>
        <w:rPr/>
      </w:pPr>
      <w:r>
        <w:rPr/>
        <w:t>This witness does have one specific criticism of the IRM.  Much of the complexity of the model comes from input based on geographically disaggregated data.  This makes the model far more complex, yet the final results are then reduced to systemwide rates.  It might have been better to leave the disaggregated rates in a separate program, and input them into the main IRM as single values for each rate class.</w:t>
      </w:r>
    </w:p>
    <w:sectPr>
      <w:footerReference w:type="default" r:id="rId48"/>
      <w:footerReference w:type="first" r:id="rId49"/>
      <w:footnotePr>
        <w:numFmt w:val="decimal"/>
      </w:footnotePr>
      <w:type w:val="nextPage"/>
      <w:pgSz w:w="12240" w:h="15840"/>
      <w:pgMar w:left="1440" w:right="1440" w:gutter="0" w:header="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default"/>
  </w:font>
  <w:font w:name="Book Antiqua">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r>
      <w:rPr>
        <w:rStyle w:val="PageNumber"/>
      </w:rPr>
      <w:t>-</w:t>
      <w:tab/>
      <w:t>PG&amp;E’s TY 1999 GRC – Phase 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5-</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tab/>
      <w:t>PG&amp;E TY 1999GRC-Phase 2</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6-</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tab/>
      <w:t>PG&amp;E TY 1999GRC-Phase 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7-</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tab/>
      <w:t>PG&amp;E TY 1999GRC-Phase 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7-</w:t>
    </w:r>
    <w:r>
      <w:rPr>
        <w:rStyle w:val="PageNumber"/>
      </w:rPr>
      <w:t>9</w:t>
      <w:tab/>
      <w:t>PG&amp;E’s TY 1999 GRC – Phase 2</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8-</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ab/>
      <w:t>PG&amp;E’s TY 1999 GRC – Phase 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1</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PG&amp;E’s TY 1999 GRC Phase 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t>9-</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t>PG&amp;E’s TY 1999 GRC – Phase 2</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PG&amp;E’s TY 1999 GRC – Phase 2</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t>CJB-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PG&amp;E’s TY 1999 GRC – Phase 2</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SFC-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1999 RAP</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DSH</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1999 RAP</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SCL-</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1999 RAP</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TOE-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1999 RAP</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WEG-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1999 RAP</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LOU-</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r>
    <w:r>
      <w:rPr>
        <w:rStyle w:val="PageNumber"/>
      </w:rPr>
      <w:t>1999 RAP</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RLE-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r>
    <w:r>
      <w:rPr>
        <w:rStyle w:val="PageNumber"/>
      </w:rPr>
      <w:t>1999 RAP</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2-</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ab/>
      <w:t>PG&amp;E’s TY 1999 GRC Phase 2</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B-</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r>
      <w:rPr>
        <w:rStyle w:val="PageNumber"/>
      </w:rPr>
      <w:t>1999 RAP</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3-</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PG&amp;E’s TY 1999 GRC Phase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4-</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ab/>
      <w:t>PG&amp;E’s TY 1999 GRC Phase 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Every 1 cent/kWh average price increase in the PX price results in an annual bill increase of about $777 million for PG&amp;E electric consumers</w:t>
      </w:r>
    </w:p>
  </w:footnote>
  <w:footnote w:id="3">
    <w:p>
      <w:pPr>
        <w:pStyle w:val="FootnoteText"/>
        <w:rPr/>
      </w:pPr>
      <w:r>
        <w:rPr>
          <w:rStyle w:val="FootnoteCharacters"/>
        </w:rPr>
        <w:footnoteRef/>
      </w:r>
      <w:r>
        <w:rPr/>
        <w:t xml:space="preserve"> </w:t>
      </w:r>
      <w:r>
        <w:rPr/>
        <w:t xml:space="preserve">ORA does not have information about any of the contractual relationships between ESPs and large customers, so it is possible that some of these customers may have already been impacted by high wholesale prices. </w:t>
      </w:r>
    </w:p>
  </w:footnote>
  <w:footnote w:id="4">
    <w:p>
      <w:pPr>
        <w:pStyle w:val="FootnoteText"/>
        <w:rPr/>
      </w:pPr>
      <w:r>
        <w:rPr>
          <w:rStyle w:val="FootnoteCharacters"/>
        </w:rPr>
        <w:footnoteRef/>
      </w:r>
      <w:r>
        <w:rPr>
          <w:sz w:val="18"/>
        </w:rPr>
        <w:t xml:space="preserve">PG&amp;E has found a “geographic variation in distribution marginal costs equal in magnitude to the estimated system average marginal cost” (Marginal Cost Update, p.1-17).  Such a geographic disparity would argue for at least serious consideration of deaveraging of distribution rates to reflect these costs.  Given, however, the likelihood of an even greater impact from locational commodity pricing ORA has not pursued deaveraging of distribution rates in this proceeding. </w:t>
      </w:r>
    </w:p>
  </w:footnote>
  <w:footnote w:id="5">
    <w:p>
      <w:pPr>
        <w:pStyle w:val="FootnoteText"/>
        <w:rPr/>
      </w:pPr>
      <w:r>
        <w:rPr>
          <w:rStyle w:val="FootnoteCharacters"/>
        </w:rPr>
        <w:footnoteRef/>
      </w:r>
      <w:r>
        <w:rPr/>
        <w:t xml:space="preserve"> </w:t>
      </w:r>
      <w:r>
        <w:rPr/>
        <w:t xml:space="preserve">PG&amp;E in its August 7, 2000 update makes a showing regarding the 100 hours method as compliance filing with D. 00-06-034.  ORA is aware that some parties may dispute the actual methodology used by PG&amp;E and agrees that this proceeding is a suitable venue for any litigation on this matter. </w:t>
      </w:r>
    </w:p>
  </w:footnote>
  <w:footnote w:id="6">
    <w:p>
      <w:pPr>
        <w:pStyle w:val="FootnoteText"/>
        <w:rPr/>
      </w:pPr>
      <w:r>
        <w:rPr>
          <w:rStyle w:val="FootnoteCharacters"/>
        </w:rPr>
        <w:footnoteRef/>
      </w:r>
      <w:r>
        <w:rPr/>
        <w:t xml:space="preserve"> </w:t>
      </w:r>
      <w:r>
        <w:rPr/>
        <w:t>Electric Utility Cost Allocation Manual, National Association of Regulatory Utility Commissioners, Jan. 1992. P.22.</w:t>
      </w:r>
    </w:p>
  </w:footnote>
  <w:footnote w:id="7">
    <w:p>
      <w:pPr>
        <w:pStyle w:val="FootnoteText"/>
        <w:rPr/>
      </w:pPr>
      <w:r>
        <w:rPr>
          <w:rStyle w:val="FootnoteCharacters"/>
        </w:rPr>
        <w:footnoteRef/>
      </w:r>
      <w:r>
        <w:rPr/>
        <w:t xml:space="preserve"> </w:t>
      </w:r>
      <w:r>
        <w:rPr/>
        <w:t>Exhibit (PG&amp;E-2),  p.2B-2</w:t>
      </w:r>
    </w:p>
  </w:footnote>
  <w:footnote w:id="8">
    <w:p>
      <w:pPr>
        <w:pStyle w:val="FootnoteText"/>
        <w:rPr/>
      </w:pPr>
      <w:r>
        <w:rPr>
          <w:rStyle w:val="FootnoteCharacters"/>
        </w:rPr>
        <w:footnoteRef/>
      </w:r>
      <w:r>
        <w:rPr/>
        <w:t xml:space="preserve"> </w:t>
      </w:r>
      <w:r>
        <w:rPr/>
        <w:t>Exhibit (PG&amp;E-2),  p.2A-5</w:t>
      </w:r>
    </w:p>
  </w:footnote>
  <w:footnote w:id="9">
    <w:p>
      <w:pPr>
        <w:pStyle w:val="FootnoteText"/>
        <w:rPr/>
      </w:pPr>
      <w:r>
        <w:rPr>
          <w:rStyle w:val="FootnoteCharacters"/>
        </w:rPr>
        <w:footnoteRef/>
      </w:r>
      <w:r>
        <w:rPr/>
        <w:t xml:space="preserve"> </w:t>
      </w:r>
      <w:r>
        <w:rPr/>
        <w:t>Exhibit (PG&amp;E-2), Chapter 2A, Sections C-2 and C-3.</w:t>
      </w:r>
    </w:p>
  </w:footnote>
  <w:footnote w:id="10">
    <w:p>
      <w:pPr>
        <w:pStyle w:val="FootnoteText"/>
        <w:rPr/>
      </w:pPr>
      <w:r>
        <w:rPr>
          <w:rStyle w:val="FootnoteCharacters"/>
        </w:rPr>
        <w:footnoteRef/>
      </w:r>
      <w:r>
        <w:rPr/>
        <w:t xml:space="preserve"> </w:t>
      </w:r>
      <w:r>
        <w:rPr/>
        <w:t>Exhibit (PG&amp;E-2); footnote 8 on p. 2A-5.</w:t>
      </w:r>
    </w:p>
  </w:footnote>
  <w:footnote w:id="11">
    <w:p>
      <w:pPr>
        <w:pStyle w:val="FootnoteText"/>
        <w:rPr/>
      </w:pPr>
      <w:r>
        <w:rPr>
          <w:rStyle w:val="FootnoteCharacters"/>
        </w:rPr>
        <w:footnoteRef/>
      </w:r>
      <w:r>
        <w:rPr/>
        <w:t xml:space="preserve"> </w:t>
      </w:r>
      <w:r>
        <w:rPr/>
        <w:t>Line extension PTER.</w:t>
      </w:r>
    </w:p>
  </w:footnote>
  <w:footnote w:id="12">
    <w:p>
      <w:pPr>
        <w:pStyle w:val="FootnoteText"/>
        <w:rPr/>
      </w:pPr>
      <w:r>
        <w:rPr>
          <w:rStyle w:val="FootnoteCharacters"/>
        </w:rPr>
        <w:footnoteRef/>
      </w:r>
      <w:r>
        <w:rPr/>
        <w:t xml:space="preserve"> </w:t>
      </w:r>
      <w:r>
        <w:rPr>
          <w:rFonts w:cs="Arial" w:ascii="Arial" w:hAnsi="Arial"/>
        </w:rPr>
        <w:t xml:space="preserve">D.95-12-053.  </w:t>
      </w:r>
    </w:p>
  </w:footnote>
  <w:footnote w:id="13">
    <w:p>
      <w:pPr>
        <w:pStyle w:val="FootnoteText"/>
        <w:rPr/>
      </w:pPr>
      <w:r>
        <w:rPr>
          <w:rStyle w:val="FootnoteCharacters"/>
        </w:rPr>
        <w:footnoteRef/>
      </w:r>
      <w:r>
        <w:rPr/>
        <w:t xml:space="preserve"> </w:t>
      </w:r>
      <w:r>
        <w:rPr/>
        <w:t>D.92549, dated December 30, 1980.</w:t>
      </w:r>
    </w:p>
  </w:footnote>
  <w:footnote w:id="14">
    <w:p>
      <w:pPr>
        <w:pStyle w:val="FootnoteText"/>
        <w:rPr/>
      </w:pPr>
      <w:r>
        <w:rPr>
          <w:rStyle w:val="FootnoteCharacters"/>
        </w:rPr>
        <w:footnoteRef/>
      </w:r>
      <w:r>
        <w:rPr>
          <w:rStyle w:val="FootnoteCharacters"/>
          <w:sz w:val="24"/>
        </w:rPr>
        <w:t xml:space="preserve"> </w:t>
      </w:r>
      <w:r>
        <w:rPr>
          <w:rStyle w:val="FootnoteCharacters"/>
          <w:sz w:val="18"/>
        </w:rPr>
        <w:t xml:space="preserve">All the rate design chapters in this report are based on ORA’s primary recommendation, which includes customer costs.  </w:t>
      </w:r>
    </w:p>
  </w:footnote>
  <w:footnote w:id="15">
    <w:p>
      <w:pPr>
        <w:pStyle w:val="FootnoteText"/>
        <w:ind w:hanging="180" w:start="180" w:end="0"/>
        <w:rPr/>
      </w:pPr>
      <w:r>
        <w:rPr>
          <w:rStyle w:val="FootnoteCharacters"/>
        </w:rPr>
        <w:footnoteRef/>
      </w:r>
      <w:r>
        <w:rPr>
          <w:sz w:val="18"/>
        </w:rPr>
        <w:t xml:space="preserve"> </w:t>
      </w:r>
      <w:r>
        <w:rPr>
          <w:sz w:val="18"/>
        </w:rPr>
        <w:t>Basing EPMC on demand estimated from the “Top 100 Hours” method would result in a 40 percent allocation to residential and 12 percent to small commercial classes.  See p.2-25 of (PG&amp;E –14) “Workpapers for August 7, 2000 Supplemental Testimony”.</w:t>
      </w:r>
    </w:p>
  </w:footnote>
  <w:footnote w:id="16">
    <w:p>
      <w:pPr>
        <w:pStyle w:val="FootnoteText"/>
        <w:rPr/>
      </w:pPr>
      <w:r>
        <w:rPr>
          <w:rStyle w:val="FootnoteCharacters"/>
        </w:rPr>
        <w:footnoteRef/>
      </w:r>
      <w:r>
        <w:rPr/>
        <w:t xml:space="preserve"> </w:t>
      </w:r>
      <w:r>
        <w:rPr/>
        <w:t>As filed on August 18, 2000.</w:t>
      </w:r>
    </w:p>
  </w:footnote>
  <w:footnote w:id="17">
    <w:p>
      <w:pPr>
        <w:pStyle w:val="FootnoteText"/>
        <w:ind w:hanging="180" w:start="180" w:end="0"/>
        <w:rPr/>
      </w:pPr>
      <w:r>
        <w:rPr>
          <w:rStyle w:val="FootnoteCharacters"/>
        </w:rPr>
        <w:footnoteRef/>
      </w:r>
      <w:r>
        <w:rPr/>
        <w:t xml:space="preserve"> </w:t>
      </w:r>
      <w:r>
        <w:rPr/>
        <w:t>The distribution revenue requirement shown in this table is total electric.  The input for the revenue allocation in this proceeding reflects only the CPUC jurisdictional revenue as shown in workpapers for AL 1972-E (Exh. PG&amp;E-7, Page 1-3).</w:t>
      </w:r>
    </w:p>
  </w:footnote>
  <w:footnote w:id="18">
    <w:p>
      <w:pPr>
        <w:pStyle w:val="FootnoteText"/>
        <w:rPr/>
      </w:pPr>
      <w:r>
        <w:rPr>
          <w:rStyle w:val="FootnoteCharacters"/>
        </w:rPr>
        <w:footnoteRef/>
      </w:r>
      <w:r>
        <w:rPr/>
        <w:t xml:space="preserve"> </w:t>
      </w:r>
      <w:r>
        <w:rPr/>
        <w:t>Pending a Commission Resolution of Advice Letter 1972-E.</w:t>
      </w:r>
    </w:p>
  </w:footnote>
  <w:footnote w:id="19">
    <w:p>
      <w:pPr>
        <w:pStyle w:val="FootnoteText"/>
        <w:ind w:hanging="180" w:start="180" w:end="0"/>
        <w:rPr/>
      </w:pPr>
      <w:r>
        <w:rPr>
          <w:rStyle w:val="FootnoteCharacters"/>
        </w:rPr>
        <w:footnoteRef/>
      </w:r>
      <w:r>
        <w:rPr/>
        <w:t xml:space="preserve"> </w:t>
      </w:r>
      <w:r>
        <w:rPr/>
        <w:t>As shown in Col. E on Page A-3 of PG&amp;E’s A.L. 1972-E.</w:t>
      </w:r>
    </w:p>
  </w:footnote>
  <w:footnote w:id="20">
    <w:p>
      <w:pPr>
        <w:pStyle w:val="FootnoteText"/>
        <w:ind w:hanging="180" w:start="180" w:end="0"/>
        <w:rPr/>
      </w:pPr>
      <w:r>
        <w:rPr>
          <w:rStyle w:val="FootnoteCharacters"/>
        </w:rPr>
        <w:footnoteRef/>
      </w:r>
      <w:r>
        <w:rPr/>
        <w:t xml:space="preserve"> </w:t>
      </w:r>
      <w:r>
        <w:rPr/>
        <w:t>Based on a PX proxy of 3.0 cents/kWh.</w:t>
      </w:r>
    </w:p>
  </w:footnote>
  <w:footnote w:id="21">
    <w:p>
      <w:pPr>
        <w:pStyle w:val="FootnoteText"/>
        <w:ind w:hanging="180" w:start="180" w:end="0"/>
        <w:rPr/>
      </w:pPr>
      <w:r>
        <w:rPr>
          <w:rStyle w:val="FootnoteCharacters"/>
        </w:rPr>
        <w:footnoteRef/>
      </w:r>
      <w:r>
        <w:rPr/>
        <w:t xml:space="preserve"> </w:t>
      </w:r>
      <w:r>
        <w:rPr/>
        <w:t>As shown in Col. E on Page A-3 of PG&amp;E’s A.L. 1972-E.</w:t>
      </w:r>
    </w:p>
  </w:footnote>
  <w:footnote w:id="22">
    <w:p>
      <w:pPr>
        <w:pStyle w:val="FootnoteText"/>
        <w:ind w:hanging="180" w:start="180" w:end="0"/>
        <w:rPr/>
      </w:pPr>
      <w:r>
        <w:rPr>
          <w:rStyle w:val="FootnoteCharacters"/>
        </w:rPr>
        <w:footnoteRef/>
      </w:r>
      <w:r>
        <w:rPr/>
        <w:t xml:space="preserve"> </w:t>
      </w:r>
      <w:r>
        <w:rPr/>
        <w:t>As discussed in Section 4.2.4</w:t>
      </w:r>
    </w:p>
  </w:footnote>
  <w:footnote w:id="23">
    <w:p>
      <w:pPr>
        <w:pStyle w:val="FootnoteText"/>
        <w:ind w:hanging="180" w:start="180" w:end="0"/>
        <w:rPr/>
      </w:pPr>
      <w:r>
        <w:rPr>
          <w:rStyle w:val="FootnoteCharacters"/>
        </w:rPr>
        <w:footnoteRef/>
      </w:r>
      <w:r>
        <w:rPr/>
        <w:t xml:space="preserve"> </w:t>
      </w:r>
      <w:r>
        <w:rPr/>
        <w:t>It is because CARE discount is based on total rates including generation.</w:t>
      </w:r>
    </w:p>
  </w:footnote>
  <w:footnote w:id="24">
    <w:p>
      <w:pPr>
        <w:pStyle w:val="FootnoteText"/>
        <w:ind w:hanging="180" w:start="180" w:end="0"/>
        <w:rPr/>
      </w:pPr>
      <w:r>
        <w:rPr>
          <w:rStyle w:val="FootnoteCharacters"/>
        </w:rPr>
        <w:footnoteRef/>
      </w:r>
      <w:r>
        <w:rPr/>
        <w:t xml:space="preserve"> </w:t>
      </w:r>
      <w:r>
        <w:rPr/>
        <w:t>The GRC, Phase I decision.</w:t>
      </w:r>
    </w:p>
  </w:footnote>
  <w:footnote w:id="25">
    <w:p>
      <w:pPr>
        <w:pStyle w:val="FootnoteText"/>
        <w:ind w:hanging="180" w:start="180" w:end="0"/>
        <w:rPr/>
      </w:pPr>
      <w:r>
        <w:rPr>
          <w:rStyle w:val="FootnoteCharacters"/>
        </w:rPr>
        <w:footnoteRef/>
      </w:r>
      <w:r>
        <w:rPr/>
        <w:t xml:space="preserve"> </w:t>
      </w:r>
      <w:r>
        <w:rPr/>
        <w:t>1995-1997</w:t>
      </w:r>
    </w:p>
  </w:footnote>
  <w:footnote w:id="26">
    <w:p>
      <w:pPr>
        <w:pStyle w:val="FootnoteText"/>
        <w:ind w:hanging="180" w:start="180" w:end="0"/>
        <w:rPr/>
      </w:pPr>
      <w:r>
        <w:rPr>
          <w:rStyle w:val="FootnoteCharacters"/>
        </w:rPr>
        <w:footnoteRef/>
      </w:r>
      <w:r>
        <w:rPr/>
        <w:t xml:space="preserve"> </w:t>
      </w:r>
      <w:r>
        <w:rPr/>
        <w:t>As of December 31, 1997.</w:t>
      </w:r>
    </w:p>
  </w:footnote>
  <w:footnote w:id="27">
    <w:p>
      <w:pPr>
        <w:pStyle w:val="FootnoteText"/>
        <w:ind w:hanging="180" w:start="180" w:end="0"/>
        <w:rPr/>
      </w:pPr>
      <w:r>
        <w:rPr>
          <w:rStyle w:val="FootnoteCharacters"/>
        </w:rPr>
        <w:footnoteRef/>
      </w:r>
      <w:r>
        <w:rPr/>
        <w:t xml:space="preserve"> </w:t>
      </w:r>
      <w:r>
        <w:rPr/>
        <w:t>As adopted in PG&amp;E’s 1999 GRC, Phase I decision (A.00-02-046).</w:t>
      </w:r>
    </w:p>
  </w:footnote>
  <w:footnote w:id="28">
    <w:p>
      <w:pPr>
        <w:pStyle w:val="FootnoteText"/>
        <w:ind w:hanging="180" w:start="180" w:end="0"/>
        <w:rPr/>
      </w:pPr>
      <w:r>
        <w:rPr>
          <w:rStyle w:val="FootnoteCharacters"/>
        </w:rPr>
        <w:footnoteRef/>
      </w:r>
      <w:r>
        <w:rPr/>
        <w:t xml:space="preserve"> </w:t>
      </w:r>
      <w:r>
        <w:rPr/>
        <w:t>As adopted in PG&amp;E’s 1999 GRC, Phase I decision (A.00-02-046).</w:t>
      </w:r>
    </w:p>
  </w:footnote>
  <w:footnote w:id="29">
    <w:p>
      <w:pPr>
        <w:pStyle w:val="FootnoteText"/>
        <w:rPr/>
      </w:pPr>
      <w:r>
        <w:rPr>
          <w:rStyle w:val="FootnoteCharacters"/>
        </w:rPr>
        <w:footnoteRef/>
      </w:r>
      <w:r>
        <w:rPr/>
        <w:t xml:space="preserve"> </w:t>
      </w:r>
      <w:r>
        <w:rPr>
          <w:sz w:val="18"/>
        </w:rPr>
        <w:t>D.00-06-034 mimeo at p.67, Ordering Paragraph 14, p. 104</w:t>
      </w:r>
      <w:r>
        <w:rPr/>
        <w:t>.</w:t>
      </w:r>
    </w:p>
  </w:footnote>
  <w:footnote w:id="30">
    <w:p>
      <w:pPr>
        <w:pStyle w:val="FootnoteText"/>
        <w:rPr/>
      </w:pPr>
      <w:r>
        <w:rPr>
          <w:rStyle w:val="FootnoteCharacters"/>
        </w:rPr>
        <w:footnoteRef/>
      </w:r>
      <w:r>
        <w:rPr/>
        <w:t xml:space="preserve"> </w:t>
      </w:r>
      <w:r>
        <w:rPr/>
        <w:t>Troid Edwards is sponsoring Sections 5-1 to 5-4, and Sections 5-18 and 5-19.  Don Smith is sponsoring the rest of the chapter.</w:t>
      </w:r>
    </w:p>
  </w:footnote>
  <w:footnote w:id="31">
    <w:p>
      <w:pPr>
        <w:pStyle w:val="FootnoteText"/>
        <w:rPr/>
      </w:pPr>
      <w:r>
        <w:rPr>
          <w:rStyle w:val="FootnoteCharacters"/>
        </w:rPr>
        <w:footnoteRef/>
      </w:r>
      <w:r>
        <w:rPr/>
        <w:t xml:space="preserve"> </w:t>
      </w:r>
      <w:r>
        <w:rPr/>
        <w:t>Derived from numbers on p. 3A-3 of (PG&amp;E-14), Workpapers for August 7, 2000 Supplemental Testimony.</w:t>
      </w:r>
    </w:p>
  </w:footnote>
  <w:footnote w:id="32">
    <w:p>
      <w:pPr>
        <w:pStyle w:val="Normal"/>
        <w:ind w:hanging="180" w:start="180" w:end="0"/>
        <w:rPr/>
      </w:pPr>
      <w:r>
        <w:rPr>
          <w:rStyle w:val="FootnoteCharacters"/>
        </w:rPr>
        <w:footnoteRef/>
      </w:r>
      <w:r>
        <w:rPr>
          <w:rStyle w:val="FootnoteCharacters"/>
        </w:rPr>
        <w:t xml:space="preserve"> </w:t>
      </w:r>
      <w:r>
        <w:rPr>
          <w:sz w:val="20"/>
        </w:rPr>
        <w:t>This is because every customer whose use is below the mean (561 kWh/month) pays more with a customer charge while half of the number of customers are below the median (396 kWh/month).  Fifteen percent of the customers fall between these two usage numbers.</w:t>
      </w:r>
    </w:p>
  </w:footnote>
  <w:footnote w:id="33">
    <w:p>
      <w:pPr>
        <w:pStyle w:val="Normal"/>
        <w:rPr/>
      </w:pPr>
      <w:r>
        <w:rPr>
          <w:rStyle w:val="FootnoteCharacters"/>
        </w:rPr>
        <w:footnoteRef/>
      </w:r>
      <w:r>
        <w:rPr>
          <w:rStyle w:val="FootnoteCharacters"/>
        </w:rPr>
        <w:t xml:space="preserve">  </w:t>
      </w:r>
      <w:r>
        <w:rPr>
          <w:sz w:val="20"/>
        </w:rPr>
        <w:t xml:space="preserve">Supplemental filing, Spreadsheet resgrc99agpart22.xls. </w:t>
      </w:r>
    </w:p>
  </w:footnote>
  <w:footnote w:id="34">
    <w:p>
      <w:pPr>
        <w:pStyle w:val="FootnoteText"/>
        <w:rPr/>
      </w:pPr>
      <w:r>
        <w:rPr>
          <w:rStyle w:val="FootnoteCharacters"/>
        </w:rPr>
        <w:footnoteRef/>
      </w:r>
      <w:r>
        <w:rPr/>
        <w:t xml:space="preserve"> </w:t>
      </w:r>
      <w:r>
        <w:rPr/>
        <w:t>(PG&amp;E-14), p.2-6.</w:t>
      </w:r>
    </w:p>
  </w:footnote>
  <w:footnote w:id="35">
    <w:p>
      <w:pPr>
        <w:pStyle w:val="Normal"/>
        <w:rPr/>
      </w:pPr>
      <w:r>
        <w:rPr>
          <w:rStyle w:val="FootnoteCharacters"/>
        </w:rPr>
        <w:footnoteRef/>
      </w:r>
      <w:r>
        <w:rPr>
          <w:rStyle w:val="FootnoteCharacters"/>
        </w:rPr>
        <w:t xml:space="preserve"> </w:t>
      </w:r>
      <w:r>
        <w:rPr>
          <w:sz w:val="20"/>
        </w:rPr>
        <w:t>ORA Date Request SDG&amp;E – DSH-1</w:t>
      </w:r>
    </w:p>
  </w:footnote>
  <w:footnote w:id="36">
    <w:p>
      <w:pPr>
        <w:pStyle w:val="Normal"/>
        <w:rPr/>
      </w:pPr>
      <w:r>
        <w:rPr>
          <w:rStyle w:val="FootnoteCharacters"/>
        </w:rPr>
        <w:footnoteRef/>
      </w:r>
      <w:r>
        <w:rPr>
          <w:rStyle w:val="FootnoteCharacters"/>
        </w:rPr>
        <w:t xml:space="preserve"> </w:t>
      </w:r>
      <w:r>
        <w:rPr>
          <w:sz w:val="20"/>
        </w:rPr>
        <w:t>Formerly know as LIRA, Low Income Ratepayer Assistance</w:t>
      </w:r>
    </w:p>
  </w:footnote>
  <w:footnote w:id="37">
    <w:p>
      <w:pPr>
        <w:pStyle w:val="Normal"/>
        <w:rPr/>
      </w:pPr>
      <w:r>
        <w:rPr>
          <w:rStyle w:val="FootnoteCharacters"/>
        </w:rPr>
        <w:footnoteRef/>
      </w:r>
      <w:r>
        <w:rPr>
          <w:rStyle w:val="FootnoteCharacters"/>
        </w:rPr>
        <w:t xml:space="preserve"> </w:t>
      </w:r>
      <w:r>
        <w:rPr>
          <w:sz w:val="20"/>
        </w:rPr>
        <w:t>Meeting with Latino Issues Forum, 14 Dec. 1999.</w:t>
      </w:r>
    </w:p>
  </w:footnote>
  <w:footnote w:id="38">
    <w:p>
      <w:pPr>
        <w:pStyle w:val="Normal"/>
        <w:ind w:hanging="180" w:start="180" w:end="0"/>
        <w:rPr/>
      </w:pPr>
      <w:r>
        <w:rPr>
          <w:rStyle w:val="FootnoteCharacters"/>
        </w:rPr>
        <w:footnoteRef/>
      </w:r>
      <w:r>
        <w:rPr>
          <w:rStyle w:val="FootnoteCharacters"/>
        </w:rPr>
        <w:t xml:space="preserve"> </w:t>
      </w:r>
      <w:r>
        <w:rPr>
          <w:sz w:val="20"/>
        </w:rPr>
        <w:t>This is the number computed above as the shift in charges from high to low users with a $5/month customer charge.  In the option case, it wouldn’t be shifted, but lost to the utility.</w:t>
      </w:r>
    </w:p>
  </w:footnote>
  <w:footnote w:id="39">
    <w:p>
      <w:pPr>
        <w:pStyle w:val="BodyText2"/>
        <w:ind w:hanging="180" w:start="180" w:end="0"/>
        <w:rPr/>
      </w:pPr>
      <w:r>
        <w:rPr>
          <w:rStyle w:val="FootnoteCharacters"/>
        </w:rPr>
        <w:footnoteRef/>
      </w:r>
      <w:r>
        <w:rPr>
          <w:rStyle w:val="FootnoteCharacters"/>
        </w:rPr>
        <w:t xml:space="preserve"> </w:t>
      </w:r>
      <w:r>
        <w:rPr>
          <w:sz w:val="20"/>
        </w:rPr>
        <w:t>Sierra Pacific proposal to the Nevada PUC: $11/Month for apartments, $20/Month for single-family residences.</w:t>
      </w:r>
    </w:p>
  </w:footnote>
  <w:footnote w:id="40">
    <w:p>
      <w:pPr>
        <w:pStyle w:val="Header"/>
        <w:tabs>
          <w:tab w:val="clear" w:pos="4320"/>
          <w:tab w:val="clear" w:pos="8640"/>
        </w:tabs>
        <w:ind w:hanging="180" w:start="180" w:end="0"/>
        <w:rPr/>
      </w:pPr>
      <w:r>
        <w:rPr>
          <w:rStyle w:val="FootnoteCharacters"/>
        </w:rPr>
        <w:footnoteRef/>
      </w:r>
      <w:r>
        <w:rPr>
          <w:rStyle w:val="FootnoteCharacters"/>
        </w:rPr>
        <w:t xml:space="preserve"> </w:t>
      </w:r>
    </w:p>
  </w:footnote>
  <w:footnote w:id="41">
    <w:p>
      <w:pPr>
        <w:pStyle w:val="Normal"/>
        <w:ind w:hanging="180" w:start="180" w:end="0"/>
        <w:rPr/>
      </w:pPr>
      <w:r>
        <w:rPr>
          <w:rStyle w:val="FootnoteCharacters"/>
        </w:rPr>
        <w:footnoteRef/>
      </w:r>
      <w:r>
        <w:rPr>
          <w:rStyle w:val="FootnoteCharacters"/>
        </w:rPr>
        <w:t xml:space="preserve"> </w:t>
      </w:r>
      <w:r>
        <w:rPr>
          <w:sz w:val="20"/>
        </w:rPr>
        <w:t>SDG&amp;E 1999 Rate Design Window Filing A.91-11-024, ORA Date Request DSH-1</w:t>
      </w:r>
    </w:p>
  </w:footnote>
  <w:footnote w:id="42">
    <w:p>
      <w:pPr>
        <w:pStyle w:val="Normal"/>
        <w:ind w:hanging="180" w:start="180" w:end="0"/>
        <w:rPr/>
      </w:pPr>
      <w:r>
        <w:rPr>
          <w:rStyle w:val="FootnoteCharacters"/>
        </w:rPr>
        <w:footnoteRef/>
      </w:r>
      <w:r>
        <w:rPr>
          <w:rStyle w:val="FootnoteCharacters"/>
        </w:rPr>
        <w:t xml:space="preserve"> </w:t>
      </w:r>
      <w:r>
        <w:rPr>
          <w:sz w:val="20"/>
        </w:rPr>
        <w:t>(PGE-4), pp.3A-7, 3A-7.</w:t>
      </w:r>
    </w:p>
  </w:footnote>
  <w:footnote w:id="43">
    <w:p>
      <w:pPr>
        <w:pStyle w:val="FootnoteText"/>
        <w:rPr/>
      </w:pPr>
      <w:r>
        <w:rPr>
          <w:rStyle w:val="FootnoteCharacters"/>
        </w:rPr>
        <w:footnoteRef/>
      </w:r>
      <w:r>
        <w:rPr/>
        <w:t xml:space="preserve"> </w:t>
      </w:r>
      <w:r>
        <w:rPr/>
        <w:t>California’s Electricity Options and Challenges, Report to Governor Gray Davis, Kahn, Michael and Lynch, Loretta, p.47, Aug.2, 2000.</w:t>
      </w:r>
    </w:p>
  </w:footnote>
  <w:footnote w:id="44">
    <w:p>
      <w:pPr>
        <w:pStyle w:val="FootnoteText"/>
        <w:rPr/>
      </w:pPr>
      <w:r>
        <w:rPr>
          <w:rStyle w:val="FootnoteCharacters"/>
        </w:rPr>
        <w:footnoteRef/>
      </w:r>
      <w:r>
        <w:rPr/>
        <w:t xml:space="preserve"> </w:t>
      </w:r>
      <w:r>
        <w:rPr>
          <w:sz w:val="18"/>
        </w:rPr>
        <w:t>PG&amp;E-4 at p.2-4.</w:t>
      </w:r>
    </w:p>
  </w:footnote>
  <w:footnote w:id="45">
    <w:p>
      <w:pPr>
        <w:pStyle w:val="FootnoteText"/>
        <w:rPr/>
      </w:pPr>
      <w:r>
        <w:rPr>
          <w:rStyle w:val="FootnoteCharacters"/>
        </w:rPr>
        <w:footnoteRef/>
      </w:r>
      <w:r>
        <w:rPr/>
        <w:t xml:space="preserve"> </w:t>
      </w:r>
      <w:r>
        <w:rPr>
          <w:sz w:val="18"/>
        </w:rPr>
        <w:t>See D.00-06-034, Id at p. 67</w:t>
      </w:r>
      <w:r>
        <w:rPr/>
        <w:t>.</w:t>
      </w:r>
    </w:p>
  </w:footnote>
  <w:footnote w:id="46">
    <w:p>
      <w:pPr>
        <w:pStyle w:val="FootnoteText"/>
        <w:rPr/>
      </w:pPr>
      <w:r>
        <w:rPr>
          <w:rStyle w:val="FootnoteCharacters"/>
        </w:rPr>
        <w:t>5</w:t>
      </w:r>
      <w:r>
        <w:rPr>
          <w:rStyle w:val="FootnoteCharacters"/>
        </w:rPr>
        <w:t>0</w:t>
      </w:r>
      <w:r>
        <w:rPr/>
        <w:t xml:space="preserve"> </w:t>
        <w:tab/>
      </w:r>
      <w:r>
        <w:rPr>
          <w:lang w:eastAsia="en-US"/>
        </w:rPr>
        <w:t>See p.2F-7 Exhibit PGE-11.</w:t>
      </w:r>
    </w:p>
  </w:footnote>
  <w:footnote w:id="47">
    <w:p>
      <w:pPr>
        <w:pStyle w:val="FootnoteText"/>
        <w:rPr/>
      </w:pPr>
      <w:r>
        <w:rPr>
          <w:rStyle w:val="FootnoteCharacters"/>
        </w:rPr>
        <w:t>5</w:t>
      </w:r>
      <w:r>
        <w:rPr>
          <w:rStyle w:val="FootnoteCharacters"/>
        </w:rPr>
        <w:t>1</w:t>
      </w:r>
      <w:r>
        <w:rPr/>
        <w:t xml:space="preserve"> </w:t>
        <w:tab/>
        <w:t>D.93-06-087, Ordering Paragraph 8, p.158;Conclusion of Law 26, p.156;Discussion p.121,122</w:t>
      </w:r>
    </w:p>
  </w:footnote>
  <w:footnote w:id="48">
    <w:p>
      <w:pPr>
        <w:pStyle w:val="FootnoteText"/>
        <w:rPr/>
      </w:pPr>
      <w:r>
        <w:rPr>
          <w:rStyle w:val="FootnoteCharacters"/>
        </w:rPr>
        <w:t>5</w:t>
      </w:r>
      <w:r>
        <w:rPr>
          <w:rStyle w:val="FootnoteCharacters"/>
        </w:rPr>
        <w:t>2</w:t>
      </w:r>
      <w:r>
        <w:rPr/>
        <w:t xml:space="preserve"> </w:t>
        <w:tab/>
        <w:t>Mimeo p.37</w:t>
      </w:r>
    </w:p>
  </w:footnote>
  <w:footnote w:id="49">
    <w:p>
      <w:pPr>
        <w:pStyle w:val="FootnoteText"/>
        <w:rPr/>
      </w:pPr>
      <w:r>
        <w:rPr>
          <w:rStyle w:val="FootnoteCharacters"/>
        </w:rPr>
        <w:footnoteRef/>
      </w:r>
      <w:r>
        <w:rPr/>
        <w:t xml:space="preserve"> </w:t>
      </w:r>
      <w:r>
        <w:rPr/>
        <w:t>Appendix A-1 and A-2 of Exh. PG&amp;E-4 dated August 18, 2000 P. A1-4 and p.A2-11, pA2-12.</w:t>
      </w:r>
    </w:p>
  </w:footnote>
  <w:footnote w:id="50">
    <w:p>
      <w:pPr>
        <w:pStyle w:val="FootnoteText"/>
        <w:ind w:hanging="180" w:start="180" w:end="0"/>
        <w:rPr/>
      </w:pPr>
      <w:r>
        <w:rPr>
          <w:rStyle w:val="FootnoteCharacters"/>
        </w:rPr>
        <w:t>5</w:t>
      </w:r>
      <w:r>
        <w:rPr>
          <w:rStyle w:val="FootnoteCharacters"/>
        </w:rPr>
        <w:t>4</w:t>
      </w:r>
      <w:r>
        <w:rPr/>
        <w:t xml:space="preserve"> Light Emitting Diodes (LED) traffic Signal rebate program improves energy efficiency for traffic lights reducing their marginal cost contribution to system revenue requirements.</w:t>
      </w:r>
    </w:p>
  </w:footnote>
  <w:footnote w:id="51">
    <w:p>
      <w:pPr>
        <w:pStyle w:val="FootnoteText"/>
        <w:ind w:hanging="180" w:start="180" w:end="0"/>
        <w:rPr/>
      </w:pPr>
      <w:r>
        <w:rPr>
          <w:rStyle w:val="FootnoteCharacters"/>
        </w:rPr>
        <w:t>5</w:t>
      </w:r>
      <w:r>
        <w:rPr>
          <w:rStyle w:val="FootnoteCharacters"/>
        </w:rPr>
        <w:t>5</w:t>
      </w:r>
      <w:r>
        <w:rPr/>
        <w:t>Depending on the level of Maximum demand required and the voltage level required as defined by Medium L&amp;P class definitions.</w:t>
      </w:r>
    </w:p>
  </w:footnote>
  <w:footnote w:id="52">
    <w:p>
      <w:pPr>
        <w:pStyle w:val="FootnoteText"/>
        <w:rPr/>
      </w:pPr>
      <w:r>
        <w:rPr>
          <w:rStyle w:val="FootnoteCharacters"/>
        </w:rPr>
        <w:footnoteRef/>
      </w:r>
      <w:r>
        <w:rPr/>
        <w:t xml:space="preserve"> </w:t>
      </w:r>
      <w:r>
        <w:rPr/>
        <w:t>D.89-12-057, D.92-12-057, and D.97-03-017.</w:t>
      </w:r>
    </w:p>
  </w:footnote>
  <w:footnote w:id="53">
    <w:p>
      <w:pPr>
        <w:pStyle w:val="FootnoteText"/>
        <w:rPr/>
      </w:pPr>
      <w:r>
        <w:rPr>
          <w:rStyle w:val="FootnoteCharacters"/>
        </w:rPr>
        <w:footnoteRef/>
      </w:r>
      <w:r>
        <w:rPr/>
        <w:t xml:space="preserve"> </w:t>
      </w:r>
      <w:r>
        <w:rPr/>
        <w:t>SCE and SDG&amp;E.</w:t>
      </w:r>
    </w:p>
  </w:footnote>
  <w:footnote w:id="54">
    <w:p>
      <w:pPr>
        <w:pStyle w:val="FootnoteText"/>
        <w:rPr/>
      </w:pPr>
      <w:r>
        <w:rPr>
          <w:rStyle w:val="FootnoteCharacters"/>
        </w:rPr>
        <w:footnoteRef/>
      </w:r>
      <w:r>
        <w:rPr/>
        <w:t xml:space="preserve"> </w:t>
      </w:r>
      <w:r>
        <w:rPr/>
        <w:t>Specifically, SCE and SDG&amp;E.</w:t>
      </w:r>
    </w:p>
  </w:footnote>
  <w:footnote w:id="55">
    <w:p>
      <w:pPr>
        <w:pStyle w:val="FootnoteText"/>
        <w:rPr/>
      </w:pPr>
      <w:r>
        <w:rPr>
          <w:rStyle w:val="FootnoteCharacters"/>
        </w:rPr>
        <w:footnoteRef/>
      </w:r>
      <w:r>
        <w:rPr/>
        <w:t xml:space="preserve"> </w:t>
      </w:r>
      <w:r>
        <w:rPr/>
        <w:t>Specifically, SCE and SDG&amp;E.</w:t>
      </w:r>
    </w:p>
  </w:footnote>
  <w:footnote w:id="56">
    <w:p>
      <w:pPr>
        <w:pStyle w:val="FootnoteText"/>
        <w:rPr/>
      </w:pPr>
      <w:r>
        <w:rPr>
          <w:rStyle w:val="FootnoteCharacters"/>
        </w:rPr>
        <w:footnoteRef/>
      </w:r>
      <w:r>
        <w:rPr/>
        <w:t xml:space="preserve"> </w:t>
      </w:r>
      <w:r>
        <w:rPr/>
        <w:t>See lines 12 and 13 on page A-1 of Exhibit No. PG&amp;E -3.</w:t>
      </w:r>
    </w:p>
  </w:footnote>
  <w:footnote w:id="57">
    <w:p>
      <w:pPr>
        <w:pStyle w:val="FootnoteText"/>
        <w:rPr/>
      </w:pPr>
      <w:r>
        <w:rPr>
          <w:rStyle w:val="FootnoteCharacters"/>
        </w:rPr>
        <w:footnoteRef/>
      </w:r>
      <w:r>
        <w:rPr/>
        <w:t xml:space="preserve"> </w:t>
      </w:r>
      <w:r>
        <w:rPr/>
        <w:t xml:space="preserve">See lines 28 and 29 on page A-3 of Exhibit No. PG&amp;E -3. </w:t>
      </w:r>
    </w:p>
  </w:footnote>
  <w:footnote w:id="58">
    <w:p>
      <w:pPr>
        <w:pStyle w:val="FootnoteText"/>
        <w:rPr/>
      </w:pPr>
      <w:r>
        <w:rPr>
          <w:rStyle w:val="FootnoteCharacters"/>
        </w:rPr>
        <w:footnoteRef/>
      </w:r>
      <w:r>
        <w:rPr/>
        <w:t xml:space="preserve"> </w:t>
      </w:r>
      <w:r>
        <w:rPr/>
        <w:t>See line 4 on page A-4 of Exhibit No. PG&amp;E -3.</w:t>
      </w:r>
    </w:p>
  </w:footnote>
  <w:footnote w:id="59">
    <w:p>
      <w:pPr>
        <w:pStyle w:val="FootnoteText"/>
        <w:rPr/>
      </w:pPr>
      <w:r>
        <w:rPr>
          <w:rStyle w:val="FootnoteCharacters"/>
        </w:rPr>
        <w:footnoteRef/>
      </w:r>
      <w:r>
        <w:rPr/>
        <w:t xml:space="preserve"> </w:t>
      </w:r>
      <w:r>
        <w:rPr/>
        <w:t>See lines 12 to 14 on page A-4 of Exhibit No. PG&amp;E-3.</w:t>
      </w:r>
    </w:p>
  </w:footnote>
  <w:footnote w:id="60">
    <w:p>
      <w:pPr>
        <w:pStyle w:val="FootnoteText"/>
        <w:rPr/>
      </w:pPr>
      <w:r>
        <w:rPr>
          <w:rStyle w:val="FootnoteCharacters"/>
        </w:rPr>
        <w:footnoteRef/>
      </w:r>
      <w:r>
        <w:rPr/>
        <w:t xml:space="preserve"> </w:t>
      </w:r>
      <w:r>
        <w:rPr/>
        <w:t>See lines 19 to 22 on page A-4 of Exhibit No. PG&amp;E-3.</w:t>
      </w:r>
    </w:p>
  </w:footnote>
  <w:footnote w:id="61">
    <w:p>
      <w:pPr>
        <w:pStyle w:val="FootnoteText"/>
        <w:rPr/>
      </w:pPr>
      <w:r>
        <w:rPr>
          <w:rStyle w:val="FootnoteCharacters"/>
        </w:rPr>
        <w:footnoteRef/>
      </w:r>
      <w:r>
        <w:rPr/>
        <w:t xml:space="preserve"> </w:t>
      </w:r>
      <w:r>
        <w:rPr/>
        <w:t>See p.2-5 of Exhibit No. PG&amp;E-.4</w:t>
      </w:r>
    </w:p>
  </w:footnote>
  <w:footnote w:id="62">
    <w:p>
      <w:pPr>
        <w:pStyle w:val="FootnoteText"/>
        <w:rPr/>
      </w:pPr>
      <w:r>
        <w:rPr>
          <w:rStyle w:val="FootnoteCharacters"/>
        </w:rPr>
        <w:footnoteRef/>
      </w:r>
      <w:r>
        <w:rPr/>
        <w:t xml:space="preserve"> </w:t>
      </w:r>
      <w:r>
        <w:rPr/>
        <w:t>See p. 4-2 of Exhibit No. PG&amp;E-4.</w:t>
      </w:r>
    </w:p>
  </w:footnote>
  <w:footnote w:id="63">
    <w:p>
      <w:pPr>
        <w:pStyle w:val="FootnoteText"/>
        <w:rPr/>
      </w:pPr>
      <w:r>
        <w:rPr>
          <w:rStyle w:val="FootnoteCharacters"/>
        </w:rPr>
        <w:footnoteRef/>
      </w:r>
      <w:r>
        <w:rPr/>
        <w:t xml:space="preserve"> </w:t>
      </w:r>
      <w:r>
        <w:rPr/>
        <w:t>PG&amp;E claims to have about 86,566 accounts in its agricultural classes.</w:t>
      </w:r>
    </w:p>
  </w:footnote>
  <w:footnote w:id="64">
    <w:p>
      <w:pPr>
        <w:pStyle w:val="FootnoteText"/>
        <w:rPr/>
      </w:pPr>
      <w:r>
        <w:rPr>
          <w:rStyle w:val="FootnoteCharacters"/>
        </w:rPr>
        <w:footnoteRef/>
      </w:r>
      <w:r>
        <w:rPr/>
        <w:t xml:space="preserve"> </w:t>
      </w:r>
      <w:r>
        <w:rPr/>
        <w:t>Cite case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6"/>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4"/>
      <w:numFmt w:val="decimal"/>
      <w:lvlText w:val="%1"/>
      <w:lvlJc w:val="start"/>
      <w:pPr>
        <w:tabs>
          <w:tab w:val="num" w:pos="720"/>
        </w:tabs>
        <w:ind w:start="720" w:hanging="720"/>
      </w:pPr>
      <w:rPr>
        <w:u w:val="none"/>
      </w:rPr>
    </w:lvl>
    <w:lvl w:ilvl="1">
      <w:start w:val="7"/>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7">
    <w:lvl w:ilvl="0">
      <w:start w:val="1"/>
      <w:numFmt w:val="decimal"/>
      <w:lvlText w:val="%1."/>
      <w:lvlJc w:val="start"/>
      <w:pPr>
        <w:tabs>
          <w:tab w:val="num" w:pos="1080"/>
        </w:tabs>
        <w:ind w:start="1080" w:hanging="360"/>
      </w:pPr>
      <w:rPr/>
    </w:lvl>
  </w:abstractNum>
  <w:abstractNum w:abstractNumId="8">
    <w:lvl w:ilvl="0">
      <w:start w:val="2"/>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3"/>
      <w:numFmt w:val="decimal"/>
      <w:lvlText w:val="%1"/>
      <w:lvlJc w:val="start"/>
      <w:pPr>
        <w:tabs>
          <w:tab w:val="num" w:pos="900"/>
        </w:tabs>
        <w:ind w:start="900" w:hanging="900"/>
      </w:pPr>
      <w:rPr/>
    </w:lvl>
    <w:lvl w:ilvl="1">
      <w:start w:val="2"/>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decimal"/>
      <w:lvlText w:val="%1)"/>
      <w:lvlJc w:val="start"/>
      <w:pPr>
        <w:tabs>
          <w:tab w:val="num" w:pos="1080"/>
        </w:tabs>
        <w:ind w:start="1080" w:hanging="360"/>
      </w:pPr>
      <w:rPr/>
    </w:lvl>
  </w:abstractNum>
  <w:abstractNum w:abstractNumId="13">
    <w:lvl w:ilvl="0">
      <w:start w:val="3"/>
      <w:numFmt w:val="decimal"/>
      <w:lvlText w:val="%1"/>
      <w:lvlJc w:val="start"/>
      <w:pPr>
        <w:tabs>
          <w:tab w:val="num" w:pos="900"/>
        </w:tabs>
        <w:ind w:start="900" w:hanging="900"/>
      </w:pPr>
      <w:rPr/>
    </w:lvl>
    <w:lvl w:ilvl="1">
      <w:start w:val="2"/>
      <w:numFmt w:val="decimal"/>
      <w:lvlText w:val="%1.%2"/>
      <w:lvlJc w:val="start"/>
      <w:pPr>
        <w:tabs>
          <w:tab w:val="num" w:pos="900"/>
        </w:tabs>
        <w:ind w:start="900" w:hanging="900"/>
      </w:pPr>
      <w:rPr/>
    </w:lvl>
    <w:lvl w:ilvl="2">
      <w:start w:val="4"/>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4">
    <w:lvl w:ilvl="0">
      <w:start w:val="9"/>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15">
    <w:lvl w:ilvl="0">
      <w:start w:val="4"/>
      <w:numFmt w:val="decimal"/>
      <w:lvlText w:val="%1"/>
      <w:lvlJc w:val="start"/>
      <w:pPr>
        <w:tabs>
          <w:tab w:val="num" w:pos="900"/>
        </w:tabs>
        <w:ind w:start="900" w:hanging="900"/>
      </w:pPr>
      <w:rPr/>
    </w:lvl>
    <w:lvl w:ilvl="1">
      <w:start w:val="2"/>
      <w:numFmt w:val="decimal"/>
      <w:lvlText w:val="%1.%2"/>
      <w:lvlJc w:val="start"/>
      <w:pPr>
        <w:tabs>
          <w:tab w:val="num" w:pos="900"/>
        </w:tabs>
        <w:ind w:start="900" w:hanging="900"/>
      </w:pPr>
      <w:rPr/>
    </w:lvl>
    <w:lvl w:ilvl="2">
      <w:start w:val="6"/>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
      <w:numFmt w:val="decimal"/>
      <w:lvlText w:val="%1)"/>
      <w:lvlJc w:val="start"/>
      <w:pPr>
        <w:tabs>
          <w:tab w:val="num" w:pos="1080"/>
        </w:tabs>
        <w:ind w:start="1080" w:hanging="360"/>
      </w:pPr>
      <w:rPr/>
    </w:lvl>
  </w:abstractNum>
  <w:abstractNum w:abstractNumId="17">
    <w:lvl w:ilvl="0">
      <w:start w:val="1"/>
      <w:numFmt w:val="decimal"/>
      <w:lvlText w:val="%1."/>
      <w:lvlJc w:val="start"/>
      <w:pPr>
        <w:tabs>
          <w:tab w:val="num" w:pos="1080"/>
        </w:tabs>
        <w:ind w:start="1080" w:hanging="360"/>
      </w:pPr>
      <w:rPr/>
    </w:lvl>
  </w:abstractNum>
  <w:abstractNum w:abstractNumId="18">
    <w:lvl w:ilvl="0">
      <w:start w:val="1"/>
      <w:numFmt w:val="decimal"/>
      <w:lvlText w:val="%1."/>
      <w:lvlJc w:val="start"/>
      <w:pPr>
        <w:tabs>
          <w:tab w:val="num" w:pos="1080"/>
        </w:tabs>
        <w:ind w:start="1080" w:hanging="360"/>
      </w:pPr>
      <w:rPr/>
    </w:lvl>
  </w:abstractNum>
  <w:abstractNum w:abstractNumId="19">
    <w:lvl w:ilvl="0">
      <w:start w:val="3"/>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20">
    <w:lvl w:ilvl="0">
      <w:start w:val="5"/>
      <w:numFmt w:val="decimal"/>
      <w:lvlText w:val="%1"/>
      <w:lvlJc w:val="start"/>
      <w:pPr>
        <w:tabs>
          <w:tab w:val="num" w:pos="900"/>
        </w:tabs>
        <w:ind w:start="900" w:hanging="900"/>
      </w:pPr>
      <w:rPr/>
    </w:lvl>
    <w:lvl w:ilvl="1">
      <w:start w:val="13"/>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1">
    <w:lvl w:ilvl="0">
      <w:start w:val="1"/>
      <w:numFmt w:val="decimal"/>
      <w:lvlText w:val="%1."/>
      <w:lvlJc w:val="start"/>
      <w:pPr>
        <w:tabs>
          <w:tab w:val="num" w:pos="360"/>
        </w:tabs>
        <w:ind w:start="360" w:hanging="360"/>
      </w:pPr>
    </w:lvl>
  </w:abstractNum>
  <w:abstractNum w:abstractNumId="22">
    <w:lvl w:ilvl="0">
      <w:start w:val="5"/>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23">
    <w:lvl w:ilvl="0">
      <w:start w:val="8"/>
      <w:numFmt w:val="decimal"/>
      <w:lvlText w:val="%1"/>
      <w:lvlJc w:val="start"/>
      <w:pPr>
        <w:tabs>
          <w:tab w:val="num" w:pos="720"/>
        </w:tabs>
        <w:ind w:start="720" w:hanging="720"/>
      </w:pPr>
      <w:rPr>
        <w:u w:val="none"/>
      </w:rPr>
    </w:lvl>
    <w:lvl w:ilvl="1">
      <w:start w:val="3"/>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24">
    <w:lvl w:ilvl="0">
      <w:start w:val="1"/>
      <w:numFmt w:val="decimal"/>
      <w:lvlText w:val="%1."/>
      <w:lvlJc w:val="start"/>
      <w:pPr>
        <w:tabs>
          <w:tab w:val="num" w:pos="1440"/>
        </w:tabs>
        <w:ind w:start="1440" w:hanging="720"/>
      </w:pPr>
      <w:rPr/>
    </w:lvl>
    <w:lvl w:ilvl="1">
      <w:start w:val="1"/>
      <w:isLgl/>
      <w:numFmt w:val="decimal"/>
      <w:lvlText w:val="%1.%2"/>
      <w:lvlJc w:val="start"/>
      <w:pPr>
        <w:tabs>
          <w:tab w:val="num" w:pos="1440"/>
        </w:tabs>
        <w:ind w:start="1440" w:hanging="720"/>
      </w:pPr>
      <w:rPr>
        <w:u w:val="single"/>
      </w:rPr>
    </w:lvl>
    <w:lvl w:ilvl="2">
      <w:start w:val="1"/>
      <w:isLgl/>
      <w:numFmt w:val="decimal"/>
      <w:lvlText w:val="%1.%2.%3"/>
      <w:lvlJc w:val="start"/>
      <w:pPr>
        <w:tabs>
          <w:tab w:val="num" w:pos="1440"/>
        </w:tabs>
        <w:ind w:start="1440" w:hanging="720"/>
      </w:pPr>
      <w:rPr>
        <w:u w:val="single"/>
      </w:rPr>
    </w:lvl>
    <w:lvl w:ilvl="3">
      <w:start w:val="1"/>
      <w:isLgl/>
      <w:numFmt w:val="decimal"/>
      <w:lvlText w:val="%1.%2.%3.%4"/>
      <w:lvlJc w:val="start"/>
      <w:pPr>
        <w:tabs>
          <w:tab w:val="num" w:pos="1440"/>
        </w:tabs>
        <w:ind w:start="1440" w:hanging="720"/>
      </w:pPr>
      <w:rPr>
        <w:u w:val="single"/>
      </w:rPr>
    </w:lvl>
    <w:lvl w:ilvl="4">
      <w:start w:val="1"/>
      <w:isLgl/>
      <w:numFmt w:val="decimal"/>
      <w:lvlText w:val="%1.%2.%3.%4.%5"/>
      <w:lvlJc w:val="start"/>
      <w:pPr>
        <w:tabs>
          <w:tab w:val="num" w:pos="1800"/>
        </w:tabs>
        <w:ind w:start="1800" w:hanging="1080"/>
      </w:pPr>
      <w:rPr>
        <w:u w:val="single"/>
      </w:rPr>
    </w:lvl>
    <w:lvl w:ilvl="5">
      <w:start w:val="1"/>
      <w:isLgl/>
      <w:numFmt w:val="decimal"/>
      <w:lvlText w:val="%1.%2.%3.%4.%5.%6"/>
      <w:lvlJc w:val="start"/>
      <w:pPr>
        <w:tabs>
          <w:tab w:val="num" w:pos="1800"/>
        </w:tabs>
        <w:ind w:start="1800" w:hanging="1080"/>
      </w:pPr>
      <w:rPr>
        <w:u w:val="single"/>
      </w:rPr>
    </w:lvl>
    <w:lvl w:ilvl="6">
      <w:start w:val="1"/>
      <w:isLgl/>
      <w:numFmt w:val="decimal"/>
      <w:lvlText w:val="%1.%2.%3.%4.%5.%6.%7"/>
      <w:lvlJc w:val="start"/>
      <w:pPr>
        <w:tabs>
          <w:tab w:val="num" w:pos="2160"/>
        </w:tabs>
        <w:ind w:start="2160" w:hanging="1440"/>
      </w:pPr>
      <w:rPr>
        <w:u w:val="single"/>
      </w:rPr>
    </w:lvl>
    <w:lvl w:ilvl="7">
      <w:start w:val="1"/>
      <w:isLgl/>
      <w:numFmt w:val="decimal"/>
      <w:lvlText w:val="%1.%2.%3.%4.%5.%6.%7.%8"/>
      <w:lvlJc w:val="start"/>
      <w:pPr>
        <w:tabs>
          <w:tab w:val="num" w:pos="2160"/>
        </w:tabs>
        <w:ind w:start="2160" w:hanging="1440"/>
      </w:pPr>
      <w:rPr>
        <w:u w:val="single"/>
      </w:rPr>
    </w:lvl>
    <w:lvl w:ilvl="8">
      <w:start w:val="1"/>
      <w:isLgl/>
      <w:numFmt w:val="decimal"/>
      <w:lvlText w:val="%1.%2.%3.%4.%5.%6.%7.%8.%9"/>
      <w:lvlJc w:val="start"/>
      <w:pPr>
        <w:tabs>
          <w:tab w:val="num" w:pos="2520"/>
        </w:tabs>
        <w:ind w:start="2520" w:hanging="1800"/>
      </w:pPr>
      <w:rPr>
        <w:u w:val="single"/>
      </w:rPr>
    </w:lvl>
  </w:abstractNum>
  <w:abstractNum w:abstractNumId="25">
    <w:lvl w:ilvl="0">
      <w:start w:val="8"/>
      <w:numFmt w:val="decimal"/>
      <w:lvlText w:val="%1"/>
      <w:lvlJc w:val="start"/>
      <w:pPr>
        <w:tabs>
          <w:tab w:val="num" w:pos="900"/>
        </w:tabs>
        <w:ind w:start="900" w:hanging="900"/>
      </w:pPr>
      <w:rPr/>
    </w:lvl>
    <w:lvl w:ilvl="1">
      <w:start w:val="3"/>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decimal"/>
      <w:lvlText w:val="%1)"/>
      <w:lvlJc w:val="start"/>
      <w:pPr>
        <w:tabs>
          <w:tab w:val="num" w:pos="360"/>
        </w:tabs>
        <w:ind w:start="360" w:hanging="360"/>
      </w:pPr>
      <w:rPr/>
    </w:lvl>
  </w:abstractNum>
  <w:abstractNum w:abstractNumId="27">
    <w:lvl w:ilvl="0">
      <w:start w:val="1"/>
      <w:numFmt w:val="decimal"/>
      <w:lvlText w:val="%1."/>
      <w:lvlJc w:val="start"/>
      <w:pPr>
        <w:tabs>
          <w:tab w:val="num" w:pos="1080"/>
        </w:tabs>
        <w:ind w:start="1080" w:hanging="360"/>
      </w:pPr>
      <w:rPr/>
    </w:lvl>
  </w:abstractNum>
  <w:abstractNum w:abstractNumId="28">
    <w:lvl w:ilvl="0">
      <w:start w:val="8"/>
      <w:numFmt w:val="decimal"/>
      <w:lvlText w:val="%1"/>
      <w:lvlJc w:val="start"/>
      <w:pPr>
        <w:tabs>
          <w:tab w:val="num" w:pos="900"/>
        </w:tabs>
        <w:ind w:start="900" w:hanging="900"/>
      </w:pPr>
      <w:rPr/>
    </w:lvl>
    <w:lvl w:ilvl="1">
      <w:start w:val="3"/>
      <w:numFmt w:val="decimal"/>
      <w:lvlText w:val="%1.%2"/>
      <w:lvlJc w:val="start"/>
      <w:pPr>
        <w:tabs>
          <w:tab w:val="num" w:pos="900"/>
        </w:tabs>
        <w:ind w:start="900" w:hanging="900"/>
      </w:pPr>
      <w:rPr/>
    </w:lvl>
    <w:lvl w:ilvl="2">
      <w:start w:val="5"/>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9">
    <w:lvl w:ilvl="0">
      <w:start w:val="4"/>
      <w:numFmt w:val="decimal"/>
      <w:lvlText w:val="%1"/>
      <w:lvlJc w:val="start"/>
      <w:pPr>
        <w:tabs>
          <w:tab w:val="num" w:pos="720"/>
        </w:tabs>
        <w:ind w:start="720" w:hanging="720"/>
      </w:pPr>
      <w:rPr>
        <w:b w:val="false"/>
      </w:rPr>
    </w:lvl>
    <w:lvl w:ilvl="1">
      <w:start w:val="6"/>
      <w:numFmt w:val="decimal"/>
      <w:lvlText w:val="%1.%2"/>
      <w:lvlJc w:val="start"/>
      <w:pPr>
        <w:tabs>
          <w:tab w:val="num" w:pos="720"/>
        </w:tabs>
        <w:ind w:start="720" w:hanging="720"/>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800"/>
        </w:tabs>
        <w:ind w:start="1800" w:hanging="1800"/>
      </w:pPr>
      <w:rPr>
        <w:b w:val="false"/>
      </w:rPr>
    </w:lvl>
  </w:abstractNum>
  <w:abstractNum w:abstractNumId="30">
    <w:lvl w:ilvl="0">
      <w:start w:val="1"/>
      <w:numFmt w:val="decimal"/>
      <w:lvlText w:val="%1)"/>
      <w:lvlJc w:val="start"/>
      <w:pPr>
        <w:tabs>
          <w:tab w:val="num" w:pos="360"/>
        </w:tabs>
        <w:ind w:start="360" w:hanging="360"/>
      </w:pPr>
      <w:rPr/>
    </w:lvl>
  </w:abstractNum>
  <w:abstractNum w:abstractNumId="31">
    <w:lvl w:ilvl="0">
      <w:start w:val="5"/>
      <w:numFmt w:val="decimal"/>
      <w:lvlText w:val="%1"/>
      <w:lvlJc w:val="start"/>
      <w:pPr>
        <w:tabs>
          <w:tab w:val="num" w:pos="900"/>
        </w:tabs>
        <w:ind w:start="900" w:hanging="900"/>
      </w:pPr>
      <w:rPr/>
    </w:lvl>
    <w:lvl w:ilvl="1">
      <w:start w:val="9"/>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2">
    <w:lvl w:ilvl="0">
      <w:numFmt w:val="bullet"/>
      <w:lvlText w:val=""/>
      <w:lvlJc w:val="start"/>
      <w:pPr>
        <w:tabs>
          <w:tab w:val="num" w:pos="360"/>
        </w:tabs>
        <w:ind w:start="5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spacing w:lineRule="auto" w:line="360"/>
      <w:ind w:hanging="0" w:start="720" w:end="0"/>
      <w:jc w:val="center"/>
      <w:outlineLvl w:val="0"/>
    </w:pPr>
    <w:rPr>
      <w:b/>
    </w:rPr>
  </w:style>
  <w:style w:type="paragraph" w:styleId="Heading2">
    <w:name w:val="heading 2"/>
    <w:basedOn w:val="Normal"/>
    <w:next w:val="Normal"/>
    <w:qFormat/>
    <w:pPr>
      <w:keepNext w:val="true"/>
      <w:widowControl w:val="false"/>
      <w:numPr>
        <w:ilvl w:val="1"/>
        <w:numId w:val="1"/>
      </w:numPr>
      <w:spacing w:before="120" w:after="0"/>
      <w:jc w:val="center"/>
      <w:outlineLvl w:val="1"/>
    </w:pPr>
    <w:rPr>
      <w:rFonts w:ascii="NewCenturySchlbk;Century Schoolbook" w:hAnsi="NewCenturySchlbk;Century Schoolbook" w:cs="NewCenturySchlbk;Century Schoolbook"/>
      <w:b/>
    </w:rPr>
  </w:style>
  <w:style w:type="paragraph" w:styleId="Heading3">
    <w:name w:val="heading 3"/>
    <w:basedOn w:val="Normal"/>
    <w:next w:val="Normal"/>
    <w:qFormat/>
    <w:pPr>
      <w:keepNext w:val="true"/>
      <w:widowControl w:val="false"/>
      <w:numPr>
        <w:ilvl w:val="2"/>
        <w:numId w:val="1"/>
      </w:numPr>
      <w:outlineLvl w:val="2"/>
    </w:pPr>
    <w:rPr>
      <w:rFonts w:ascii="NewCenturySchlbk;Century Schoolbook" w:hAnsi="NewCenturySchlbk;Century Schoolbook" w:cs="NewCenturySchlbk;Century Schoolbook"/>
      <w:b/>
    </w:rPr>
  </w:style>
  <w:style w:type="paragraph" w:styleId="Heading4">
    <w:name w:val="heading 4"/>
    <w:basedOn w:val="Normal"/>
    <w:next w:val="Normal"/>
    <w:qFormat/>
    <w:pPr>
      <w:keepNext w:val="true"/>
      <w:widowControl w:val="false"/>
      <w:numPr>
        <w:ilvl w:val="3"/>
        <w:numId w:val="1"/>
      </w:numPr>
      <w:spacing w:lineRule="auto" w:line="360"/>
      <w:jc w:val="center"/>
      <w:outlineLvl w:val="3"/>
    </w:pPr>
    <w:rPr>
      <w:b/>
      <w:sz w:val="28"/>
    </w:rPr>
  </w:style>
  <w:style w:type="paragraph" w:styleId="Heading5">
    <w:name w:val="heading 5"/>
    <w:basedOn w:val="Normal"/>
    <w:next w:val="Normal"/>
    <w:qFormat/>
    <w:pPr>
      <w:keepNext w:val="true"/>
      <w:widowControl w:val="false"/>
      <w:numPr>
        <w:ilvl w:val="4"/>
        <w:numId w:val="1"/>
      </w:numPr>
      <w:shd w:fill="F2F2F2" w:val="clear"/>
      <w:tabs>
        <w:tab w:val="left" w:pos="720" w:leader="none"/>
        <w:tab w:val="left" w:pos="1440" w:leader="none"/>
        <w:tab w:val="right" w:pos="8460" w:leader="none"/>
      </w:tabs>
      <w:spacing w:lineRule="auto" w:line="360" w:before="120" w:after="0"/>
      <w:ind w:hanging="720" w:start="720" w:end="0"/>
      <w:outlineLvl w:val="4"/>
    </w:pPr>
    <w:rPr>
      <w:b/>
    </w:rPr>
  </w:style>
  <w:style w:type="paragraph" w:styleId="Heading6">
    <w:name w:val="heading 6"/>
    <w:basedOn w:val="Normal"/>
    <w:next w:val="Normal"/>
    <w:qFormat/>
    <w:pPr>
      <w:keepNext w:val="true"/>
      <w:numPr>
        <w:ilvl w:val="5"/>
        <w:numId w:val="1"/>
      </w:numPr>
      <w:ind w:firstLine="720" w:start="0" w:end="0"/>
      <w:jc w:val="center"/>
      <w:outlineLvl w:val="5"/>
    </w:pPr>
    <w:rPr>
      <w:rFonts w:ascii="Arial" w:hAnsi="Arial" w:cs="Arial"/>
      <w:b/>
    </w:rPr>
  </w:style>
  <w:style w:type="paragraph" w:styleId="Heading7">
    <w:name w:val="heading 7"/>
    <w:basedOn w:val="Normal"/>
    <w:next w:val="Normal"/>
    <w:qFormat/>
    <w:pPr>
      <w:keepNext w:val="true"/>
      <w:widowControl w:val="false"/>
      <w:numPr>
        <w:ilvl w:val="6"/>
        <w:numId w:val="1"/>
      </w:numPr>
      <w:shd w:fill="F2F2F2" w:val="clear"/>
      <w:tabs>
        <w:tab w:val="left" w:pos="720" w:leader="none"/>
        <w:tab w:val="left" w:pos="1440" w:leader="none"/>
        <w:tab w:val="right" w:pos="8460" w:leader="none"/>
      </w:tabs>
      <w:spacing w:lineRule="auto" w:line="360" w:before="120" w:after="0"/>
      <w:ind w:hanging="720" w:start="720" w:end="0"/>
      <w:jc w:val="center"/>
      <w:outlineLvl w:val="6"/>
    </w:pPr>
    <w:rPr>
      <w:b/>
    </w:rPr>
  </w:style>
  <w:style w:type="paragraph" w:styleId="Heading8">
    <w:name w:val="heading 8"/>
    <w:basedOn w:val="Normal"/>
    <w:next w:val="Normal"/>
    <w:qFormat/>
    <w:pPr>
      <w:keepNext w:val="true"/>
      <w:widowControl w:val="false"/>
      <w:numPr>
        <w:ilvl w:val="7"/>
        <w:numId w:val="1"/>
      </w:numPr>
      <w:shd w:fill="F2F2F2" w:val="clear"/>
      <w:tabs>
        <w:tab w:val="clear" w:pos="720"/>
        <w:tab w:val="left" w:pos="1440" w:leader="none"/>
        <w:tab w:val="right" w:pos="8460" w:leader="none"/>
      </w:tabs>
      <w:spacing w:lineRule="auto" w:line="360" w:before="120" w:after="0"/>
      <w:outlineLvl w:val="7"/>
    </w:pPr>
    <w:rPr>
      <w:b/>
    </w:rPr>
  </w:style>
  <w:style w:type="paragraph" w:styleId="Heading9">
    <w:name w:val="heading 9"/>
    <w:basedOn w:val="Normal"/>
    <w:next w:val="Normal"/>
    <w:qFormat/>
    <w:pPr>
      <w:keepNext w:val="true"/>
      <w:numPr>
        <w:ilvl w:val="8"/>
        <w:numId w:val="1"/>
      </w:numPr>
      <w:spacing w:lineRule="auto" w:line="360"/>
      <w:jc w:val="center"/>
      <w:outlineLvl w:val="8"/>
    </w:pPr>
    <w:rPr>
      <w:b/>
      <w:sz w:val="28"/>
      <w:u w:val="single"/>
    </w:rPr>
  </w:style>
  <w:style w:type="character" w:styleId="WW8Num1z0">
    <w:name w:val="WW8Num1z0"/>
    <w:qFormat/>
    <w:rPr>
      <w:rFonts w:ascii="Arial" w:hAnsi="Arial" w:cs="Arial"/>
      <w:b/>
      <w:sz w:val="32"/>
    </w:rPr>
  </w:style>
  <w:style w:type="character" w:styleId="WW8Num1z1">
    <w:name w:val="WW8Num1z1"/>
    <w:qFormat/>
    <w:rPr>
      <w:b/>
    </w:rPr>
  </w:style>
  <w:style w:type="character" w:styleId="WW8Num1z2">
    <w:name w:val="WW8Num1z2"/>
    <w:qFormat/>
    <w:rPr>
      <w:rFonts w:ascii="Arial" w:hAnsi="Arial" w:cs="Arial"/>
      <w:b/>
      <w:color w:val="000000"/>
    </w:rPr>
  </w:style>
  <w:style w:type="character" w:styleId="WW8Num3z0">
    <w:name w:val="WW8Num3z0"/>
    <w:qFormat/>
    <w:rPr>
      <w:rFonts w:ascii="Times New Roman" w:hAnsi="Times New Roman" w:cs="Times New Roman"/>
      <w:b/>
      <w:i w:val="false"/>
      <w:sz w:val="24"/>
    </w:rPr>
  </w:style>
  <w:style w:type="character" w:styleId="WW8Num3z1">
    <w:name w:val="WW8Num3z1"/>
    <w:qFormat/>
    <w:rPr>
      <w:rFonts w:ascii="Times New Roman" w:hAnsi="Times New Roman" w:cs="Times New Roman"/>
      <w:sz w:val="24"/>
    </w:rPr>
  </w:style>
  <w:style w:type="character" w:styleId="WW8Num4z0">
    <w:name w:val="WW8Num4z0"/>
    <w:qFormat/>
    <w:rPr/>
  </w:style>
  <w:style w:type="character" w:styleId="WW8Num5z0">
    <w:name w:val="WW8Num5z0"/>
    <w:qFormat/>
    <w:rPr>
      <w:rFonts w:ascii="Symbol" w:hAnsi="Symbol" w:cs="Symbol"/>
      <w:color w:val="auto"/>
    </w:rPr>
  </w:style>
  <w:style w:type="character" w:styleId="WW8Num6z0">
    <w:name w:val="WW8Num6z0"/>
    <w:qFormat/>
    <w:rPr/>
  </w:style>
  <w:style w:type="character" w:styleId="WW8Num7z0">
    <w:name w:val="WW8Num7z0"/>
    <w:qFormat/>
    <w:rPr/>
  </w:style>
  <w:style w:type="character" w:styleId="WW8Num8z0">
    <w:name w:val="WW8Num8z0"/>
    <w:qFormat/>
    <w:rPr>
      <w:b w:val="false"/>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4"/>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u w:val="none"/>
    </w:rPr>
  </w:style>
  <w:style w:type="character" w:styleId="WW8Num41z0">
    <w:name w:val="WW8Num41z0"/>
    <w:qFormat/>
    <w:rPr>
      <w:u w:val="none"/>
    </w:rPr>
  </w:style>
  <w:style w:type="character" w:styleId="WW8Num42z0">
    <w:name w:val="WW8Num42z0"/>
    <w:qFormat/>
    <w:rPr/>
  </w:style>
  <w:style w:type="character" w:styleId="WW8Num43z0">
    <w:name w:val="WW8Num43z0"/>
    <w:qFormat/>
    <w:rPr/>
  </w:style>
  <w:style w:type="character" w:styleId="WW8Num44z0">
    <w:name w:val="WW8Num44z0"/>
    <w:qFormat/>
    <w:rPr>
      <w:u w:val="none"/>
    </w:rPr>
  </w:style>
  <w:style w:type="character" w:styleId="WW8Num45z0">
    <w:name w:val="WW8Num45z0"/>
    <w:qFormat/>
    <w:rPr/>
  </w:style>
  <w:style w:type="character" w:styleId="WW8Num46z0">
    <w:name w:val="WW8Num46z0"/>
    <w:qFormat/>
    <w:rPr>
      <w:u w:val="none"/>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u w:val="none"/>
    </w:rPr>
  </w:style>
  <w:style w:type="character" w:styleId="WW8Num52z0">
    <w:name w:val="WW8Num52z0"/>
    <w:qFormat/>
    <w:rPr>
      <w:rFonts w:ascii="Symbol" w:hAnsi="Symbol" w:cs="Symbol"/>
    </w:rPr>
  </w:style>
  <w:style w:type="character" w:styleId="WW8Num53z0">
    <w:name w:val="WW8Num53z0"/>
    <w:qFormat/>
    <w:rPr>
      <w:rFonts w:ascii="Times New Roman" w:hAnsi="Times New Roman" w:cs="Times New Roman"/>
      <w:sz w:val="24"/>
    </w:rPr>
  </w:style>
  <w:style w:type="character" w:styleId="WW8Num54z0">
    <w:name w:val="WW8Num54z0"/>
    <w:qFormat/>
    <w:rPr>
      <w:rFonts w:ascii="Times New Roman" w:hAnsi="Times New Roman" w:cs="Times New Roman"/>
      <w:sz w:val="24"/>
    </w:rPr>
  </w:style>
  <w:style w:type="character" w:styleId="WW8Num55z0">
    <w:name w:val="WW8Num55z0"/>
    <w:qFormat/>
    <w:rPr>
      <w:u w:val="none"/>
    </w:rPr>
  </w:style>
  <w:style w:type="character" w:styleId="WW8Num56z0">
    <w:name w:val="WW8Num56z0"/>
    <w:qFormat/>
    <w:rPr>
      <w:rFonts w:ascii="Symbol" w:hAnsi="Symbol" w:cs="Symbol"/>
    </w:rPr>
  </w:style>
  <w:style w:type="character" w:styleId="WW8Num57z0">
    <w:name w:val="WW8Num57z0"/>
    <w:qFormat/>
    <w:rPr>
      <w:rFonts w:ascii="Times New Roman" w:hAnsi="Times New Roman" w:cs="Times New Roman"/>
      <w:b w:val="false"/>
      <w:i w:val="false"/>
      <w:sz w:val="24"/>
      <w:u w:val="none"/>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Times New Roman" w:hAnsi="Times New Roman" w:cs="Times New Roman"/>
      <w:b w:val="false"/>
      <w:i w:val="false"/>
      <w:sz w:val="24"/>
      <w:u w:val="none"/>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u w:val="none"/>
    </w:rPr>
  </w:style>
  <w:style w:type="character" w:styleId="WW8Num66z0">
    <w:name w:val="WW8Num66z0"/>
    <w:qFormat/>
    <w:rPr/>
  </w:style>
  <w:style w:type="character" w:styleId="WW8Num67z0">
    <w:name w:val="WW8Num67z0"/>
    <w:qFormat/>
    <w:rPr>
      <w:u w:val="none"/>
    </w:rPr>
  </w:style>
  <w:style w:type="character" w:styleId="WW8Num68z0">
    <w:name w:val="WW8Num68z0"/>
    <w:qFormat/>
    <w:rPr>
      <w:rFonts w:ascii="Symbol" w:hAnsi="Symbol" w:cs="Symbol"/>
    </w:rPr>
  </w:style>
  <w:style w:type="character" w:styleId="WW8Num69z0">
    <w:name w:val="WW8Num69z0"/>
    <w:qFormat/>
    <w:rPr>
      <w:u w:val="none"/>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Times New Roman" w:hAnsi="Times New Roman" w:cs="Times New Roman"/>
      <w:b w:val="false"/>
      <w:i w:val="false"/>
      <w:sz w:val="24"/>
      <w:u w:val="none"/>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u w:val="none"/>
    </w:rPr>
  </w:style>
  <w:style w:type="character" w:styleId="WW8Num81z0">
    <w:name w:val="WW8Num81z0"/>
    <w:qFormat/>
    <w:rPr>
      <w:rFonts w:ascii="Symbol" w:hAnsi="Symbol" w:cs="Symbol"/>
    </w:rPr>
  </w:style>
  <w:style w:type="character" w:styleId="WW8Num82z0">
    <w:name w:val="WW8Num82z0"/>
    <w:qFormat/>
    <w:rPr>
      <w:b/>
      <w:u w:val="none"/>
    </w:rPr>
  </w:style>
  <w:style w:type="character" w:styleId="WW8Num84z0">
    <w:name w:val="WW8Num84z0"/>
    <w:qFormat/>
    <w:rPr/>
  </w:style>
  <w:style w:type="character" w:styleId="WW8Num85z0">
    <w:name w:val="WW8Num85z0"/>
    <w:qFormat/>
    <w:rPr/>
  </w:style>
  <w:style w:type="character" w:styleId="WW8Num85z1">
    <w:name w:val="WW8Num85z1"/>
    <w:qFormat/>
    <w:rPr>
      <w:u w:val="single"/>
    </w:rPr>
  </w:style>
  <w:style w:type="character" w:styleId="WW8Num86z0">
    <w:name w:val="WW8Num86z0"/>
    <w:qFormat/>
    <w:rPr>
      <w:b/>
      <w:u w:val="none"/>
    </w:rPr>
  </w:style>
  <w:style w:type="character" w:styleId="WW8Num87z0">
    <w:name w:val="WW8Num87z0"/>
    <w:qFormat/>
    <w:rPr>
      <w:u w:val="none"/>
    </w:rPr>
  </w:style>
  <w:style w:type="character" w:styleId="WW8Num88z0">
    <w:name w:val="WW8Num88z0"/>
    <w:qFormat/>
    <w:rPr/>
  </w:style>
  <w:style w:type="character" w:styleId="WW8Num89z0">
    <w:name w:val="WW8Num89z0"/>
    <w:qFormat/>
    <w:rPr>
      <w:b w:val="false"/>
    </w:rPr>
  </w:style>
  <w:style w:type="character" w:styleId="WW8Num91z0">
    <w:name w:val="WW8Num91z0"/>
    <w:qFormat/>
    <w:rPr/>
  </w:style>
  <w:style w:type="character" w:styleId="WW8Num93z0">
    <w:name w:val="WW8Num93z0"/>
    <w:qFormat/>
    <w:rPr/>
  </w:style>
  <w:style w:type="character" w:styleId="WW8Num93z1">
    <w:name w:val="WW8Num93z1"/>
    <w:qFormat/>
    <w:rPr>
      <w:u w:val="none"/>
    </w:rPr>
  </w:style>
  <w:style w:type="character" w:styleId="WW8Num94z0">
    <w:name w:val="WW8Num94z0"/>
    <w:qFormat/>
    <w:rPr>
      <w:rFonts w:ascii="Symbol" w:hAnsi="Symbol" w:cs="Symbol"/>
      <w:color w:val="auto"/>
    </w:rPr>
  </w:style>
  <w:style w:type="character" w:styleId="WW8Num95z0">
    <w:name w:val="WW8Num95z0"/>
    <w:qFormat/>
    <w:rPr/>
  </w:style>
  <w:style w:type="character" w:styleId="WW8Num98z0">
    <w:name w:val="WW8Num98z0"/>
    <w:qFormat/>
    <w:rPr>
      <w:b/>
    </w:rPr>
  </w:style>
  <w:style w:type="character" w:styleId="WW8Num99z0">
    <w:name w:val="WW8Num99z0"/>
    <w:qFormat/>
    <w:rPr>
      <w:u w:val="none"/>
    </w:rPr>
  </w:style>
  <w:style w:type="character" w:styleId="WW8Num100z0">
    <w:name w:val="WW8Num100z0"/>
    <w:qFormat/>
    <w:rPr>
      <w:u w:val="none"/>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b w:val="false"/>
    </w:rPr>
  </w:style>
  <w:style w:type="character" w:styleId="WW8Num105z0">
    <w:name w:val="WW8Num105z0"/>
    <w:qFormat/>
    <w:rPr>
      <w:u w:val="none"/>
    </w:rPr>
  </w:style>
  <w:style w:type="character" w:styleId="WW8Num106z0">
    <w:name w:val="WW8Num106z0"/>
    <w:qFormat/>
    <w:rPr/>
  </w:style>
  <w:style w:type="character" w:styleId="WW8Num107z0">
    <w:name w:val="WW8Num107z0"/>
    <w:qFormat/>
    <w:rPr>
      <w:u w:val="none"/>
    </w:rPr>
  </w:style>
  <w:style w:type="character" w:styleId="WW8Num108z0">
    <w:name w:val="WW8Num108z0"/>
    <w:qFormat/>
    <w:rPr>
      <w:u w:val="none"/>
    </w:rPr>
  </w:style>
  <w:style w:type="character" w:styleId="WW8Num110z0">
    <w:name w:val="WW8Num110z0"/>
    <w:qFormat/>
    <w:rPr/>
  </w:style>
  <w:style w:type="character" w:styleId="WW8Num111z0">
    <w:name w:val="WW8Num111z0"/>
    <w:qFormat/>
    <w:rPr>
      <w:u w:val="none"/>
    </w:rPr>
  </w:style>
  <w:style w:type="character" w:styleId="WW8Num112z0">
    <w:name w:val="WW8Num112z0"/>
    <w:qFormat/>
    <w:rPr>
      <w:b/>
    </w:rPr>
  </w:style>
  <w:style w:type="character" w:styleId="WW8Num113z0">
    <w:name w:val="WW8Num113z0"/>
    <w:qFormat/>
    <w:rPr>
      <w:u w:val="none"/>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u w:val="none"/>
    </w:rPr>
  </w:style>
  <w:style w:type="character" w:styleId="WW8Num121z0">
    <w:name w:val="WW8Num121z0"/>
    <w:qFormat/>
    <w:rPr>
      <w:rFonts w:ascii="Times New Roman" w:hAnsi="Times New Roman" w:cs="Times New Roman"/>
      <w:color w:val="auto"/>
    </w:rPr>
  </w:style>
  <w:style w:type="character" w:styleId="WW8Num122z0">
    <w:name w:val="WW8Num122z0"/>
    <w:qFormat/>
    <w:rPr/>
  </w:style>
  <w:style w:type="character" w:styleId="WW8Num123z0">
    <w:name w:val="WW8Num123z0"/>
    <w:qFormat/>
    <w:rPr/>
  </w:style>
  <w:style w:type="character" w:styleId="WW8Num124z0">
    <w:name w:val="WW8Num124z0"/>
    <w:qFormat/>
    <w:rPr>
      <w:b w:val="false"/>
      <w:u w:val="none"/>
    </w:rPr>
  </w:style>
  <w:style w:type="character" w:styleId="WW8Num125z0">
    <w:name w:val="WW8Num125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style>
  <w:style w:type="character" w:styleId="WW8Num130z0">
    <w:name w:val="WW8Num130z0"/>
    <w:qFormat/>
    <w:rPr>
      <w:u w:val="none"/>
    </w:rPr>
  </w:style>
  <w:style w:type="character" w:styleId="WW8Num131z0">
    <w:name w:val="WW8Num131z0"/>
    <w:qFormat/>
    <w:rPr/>
  </w:style>
  <w:style w:type="character" w:styleId="WW8Num132z0">
    <w:name w:val="WW8Num132z0"/>
    <w:qFormat/>
    <w:rPr>
      <w:rFonts w:ascii="Times New Roman" w:hAnsi="Times New Roman" w:cs="Times New Roman"/>
      <w:b w:val="false"/>
      <w:i w:val="false"/>
      <w:sz w:val="24"/>
      <w:u w:val="none"/>
    </w:rPr>
  </w:style>
  <w:style w:type="character" w:styleId="WW8Num133z0">
    <w:name w:val="WW8Num133z0"/>
    <w:qFormat/>
    <w:rPr/>
  </w:style>
  <w:style w:type="character" w:styleId="WW8Num134z0">
    <w:name w:val="WW8Num134z0"/>
    <w:qFormat/>
    <w:rPr>
      <w:b/>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color w:val="auto"/>
    </w:rPr>
  </w:style>
  <w:style w:type="character" w:styleId="WW8Num140z0">
    <w:name w:val="WW8Num140z0"/>
    <w:qFormat/>
    <w:rPr>
      <w:u w:val="none"/>
    </w:rPr>
  </w:style>
  <w:style w:type="character" w:styleId="WW8Num141z0">
    <w:name w:val="WW8Num141z0"/>
    <w:qFormat/>
    <w:rPr>
      <w:u w:val="none"/>
    </w:rPr>
  </w:style>
  <w:style w:type="character" w:styleId="WW8Num142z0">
    <w:name w:val="WW8Num142z0"/>
    <w:qFormat/>
    <w:rPr/>
  </w:style>
  <w:style w:type="character" w:styleId="WW8Num143z0">
    <w:name w:val="WW8Num143z0"/>
    <w:qFormat/>
    <w:rPr>
      <w:b/>
      <w:u w:val="none"/>
    </w:rPr>
  </w:style>
  <w:style w:type="character" w:styleId="WW8Num144z0">
    <w:name w:val="WW8Num144z0"/>
    <w:qFormat/>
    <w:rPr/>
  </w:style>
  <w:style w:type="character" w:styleId="WW8Num144z1">
    <w:name w:val="WW8Num144z1"/>
    <w:qFormat/>
    <w:rPr>
      <w:u w:val="none"/>
    </w:rPr>
  </w:style>
  <w:style w:type="character" w:styleId="WW8Num145z0">
    <w:name w:val="WW8Num145z0"/>
    <w:qFormat/>
    <w:rPr>
      <w:rFonts w:ascii="Times New Roman" w:hAnsi="Times New Roman" w:cs="Times New Roman"/>
      <w:b w:val="false"/>
      <w:i w:val="false"/>
      <w:sz w:val="24"/>
      <w:u w:val="none"/>
    </w:rPr>
  </w:style>
  <w:style w:type="character" w:styleId="WW8Num146z0">
    <w:name w:val="WW8Num146z0"/>
    <w:qFormat/>
    <w:rPr/>
  </w:style>
  <w:style w:type="character" w:styleId="WW8Num147z0">
    <w:name w:val="WW8Num147z0"/>
    <w:qFormat/>
    <w:rPr>
      <w:u w:val="none"/>
    </w:rPr>
  </w:style>
  <w:style w:type="character" w:styleId="WW8Num149z0">
    <w:name w:val="WW8Num149z0"/>
    <w:qFormat/>
    <w:rPr>
      <w:rFonts w:ascii="Symbol" w:hAnsi="Symbol" w:cs="Symbol"/>
    </w:rPr>
  </w:style>
  <w:style w:type="character" w:styleId="WW8Num151z0">
    <w:name w:val="WW8Num151z0"/>
    <w:qFormat/>
    <w:rPr/>
  </w:style>
  <w:style w:type="character" w:styleId="WW8Num152z0">
    <w:name w:val="WW8Num152z0"/>
    <w:qFormat/>
    <w:rPr>
      <w:u w:val="none"/>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u w:val="none"/>
    </w:rPr>
  </w:style>
  <w:style w:type="character" w:styleId="WW8Num157z0">
    <w:name w:val="WW8Num157z0"/>
    <w:qFormat/>
    <w:rPr/>
  </w:style>
  <w:style w:type="character" w:styleId="WW8Num158z0">
    <w:name w:val="WW8Num158z0"/>
    <w:qFormat/>
    <w:rPr>
      <w:b/>
    </w:rPr>
  </w:style>
  <w:style w:type="character" w:styleId="WW8Num159z0">
    <w:name w:val="WW8Num159z0"/>
    <w:qFormat/>
    <w:rPr>
      <w:u w:val="none"/>
    </w:rPr>
  </w:style>
  <w:style w:type="character" w:styleId="WW8Num160z0">
    <w:name w:val="WW8Num160z0"/>
    <w:qFormat/>
    <w:rPr>
      <w:b w:val="false"/>
    </w:rPr>
  </w:style>
  <w:style w:type="character" w:styleId="WW8Num161z0">
    <w:name w:val="WW8Num161z0"/>
    <w:qFormat/>
    <w:rPr/>
  </w:style>
  <w:style w:type="character" w:styleId="WW8Num162z0">
    <w:name w:val="WW8Num162z0"/>
    <w:qFormat/>
    <w:rPr/>
  </w:style>
  <w:style w:type="character" w:styleId="WW8Num163z0">
    <w:name w:val="WW8Num163z0"/>
    <w:qFormat/>
    <w:rPr>
      <w:b/>
    </w:rPr>
  </w:style>
  <w:style w:type="character" w:styleId="WW8Num164z0">
    <w:name w:val="WW8Num164z0"/>
    <w:qFormat/>
    <w:rPr>
      <w:rFonts w:ascii="Times New Roman" w:hAnsi="Times New Roman" w:cs="Times New Roman"/>
      <w:b w:val="false"/>
      <w:i w:val="false"/>
      <w:sz w:val="24"/>
      <w:u w:val="none"/>
    </w:rPr>
  </w:style>
  <w:style w:type="character" w:styleId="WW8Num165z0">
    <w:name w:val="WW8Num165z0"/>
    <w:qFormat/>
    <w:rPr>
      <w:b/>
      <w:u w:val="none"/>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style>
  <w:style w:type="character" w:styleId="WW8Num172z0">
    <w:name w:val="WW8Num172z0"/>
    <w:qFormat/>
    <w:rPr>
      <w:u w:val="none"/>
    </w:rPr>
  </w:style>
  <w:style w:type="character" w:styleId="WW8Num173z0">
    <w:name w:val="WW8Num173z0"/>
    <w:qFormat/>
    <w:rPr/>
  </w:style>
  <w:style w:type="character" w:styleId="WW8Num173z1">
    <w:name w:val="WW8Num173z1"/>
    <w:qFormat/>
    <w:rPr>
      <w:u w:val="single"/>
    </w:rPr>
  </w:style>
  <w:style w:type="character" w:styleId="WW8Num174z0">
    <w:name w:val="WW8Num174z0"/>
    <w:qFormat/>
    <w:rPr/>
  </w:style>
  <w:style w:type="character" w:styleId="WW8Num175z0">
    <w:name w:val="WW8Num175z0"/>
    <w:qFormat/>
    <w:rPr>
      <w:u w:val="none"/>
    </w:rPr>
  </w:style>
  <w:style w:type="character" w:styleId="WW8Num176z0">
    <w:name w:val="WW8Num176z0"/>
    <w:qFormat/>
    <w:rPr/>
  </w:style>
  <w:style w:type="character" w:styleId="WW8Num177z0">
    <w:name w:val="WW8Num177z0"/>
    <w:qFormat/>
    <w:rPr>
      <w:u w:val="none"/>
    </w:rPr>
  </w:style>
  <w:style w:type="character" w:styleId="WW8Num178z0">
    <w:name w:val="WW8Num178z0"/>
    <w:qFormat/>
    <w:rPr>
      <w:u w:val="none"/>
    </w:rPr>
  </w:style>
  <w:style w:type="character" w:styleId="WW8Num179z0">
    <w:name w:val="WW8Num179z0"/>
    <w:qFormat/>
    <w:rPr>
      <w:u w:val="none"/>
    </w:rPr>
  </w:style>
  <w:style w:type="character" w:styleId="WW8Num180z0">
    <w:name w:val="WW8Num180z0"/>
    <w:qFormat/>
    <w:rPr>
      <w:b/>
    </w:rPr>
  </w:style>
  <w:style w:type="character" w:styleId="WW8Num181z0">
    <w:name w:val="WW8Num181z0"/>
    <w:qFormat/>
    <w:rPr/>
  </w:style>
  <w:style w:type="character" w:styleId="WW8Num182z0">
    <w:name w:val="WW8Num182z0"/>
    <w:qFormat/>
    <w:rPr>
      <w:rFonts w:ascii="Symbol" w:hAnsi="Symbol" w:cs="Symbol"/>
    </w:rPr>
  </w:style>
  <w:style w:type="character" w:styleId="WW8Num184z0">
    <w:name w:val="WW8Num184z0"/>
    <w:qFormat/>
    <w:rPr>
      <w:rFonts w:ascii="Times New Roman" w:hAnsi="Times New Roman" w:cs="Times New Roman"/>
      <w:sz w:val="24"/>
    </w:rPr>
  </w:style>
  <w:style w:type="character" w:styleId="WW8Num185z0">
    <w:name w:val="WW8Num185z0"/>
    <w:qFormat/>
    <w:rPr>
      <w:u w:val="single"/>
    </w:rPr>
  </w:style>
  <w:style w:type="character" w:styleId="WW8Num186z0">
    <w:name w:val="WW8Num186z0"/>
    <w:qFormat/>
    <w:rPr>
      <w:u w:val="none"/>
    </w:rPr>
  </w:style>
  <w:style w:type="character" w:styleId="WW8Num188z0">
    <w:name w:val="WW8Num188z0"/>
    <w:qFormat/>
    <w:rPr>
      <w:rFonts w:ascii="Symbol" w:hAnsi="Symbol" w:cs="Symbol"/>
    </w:rPr>
  </w:style>
  <w:style w:type="character" w:styleId="WW8Num190z0">
    <w:name w:val="WW8Num190z0"/>
    <w:qFormat/>
    <w:rPr/>
  </w:style>
  <w:style w:type="character" w:styleId="WW8Num190z1">
    <w:name w:val="WW8Num190z1"/>
    <w:qFormat/>
    <w:rPr>
      <w:u w:val="single"/>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u w:val="none"/>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Times New Roman" w:hAnsi="Times New Roman" w:cs="Times New Roman"/>
      <w:sz w:val="24"/>
    </w:rPr>
  </w:style>
  <w:style w:type="character" w:styleId="WW8Num200z0">
    <w:name w:val="WW8Num200z0"/>
    <w:qFormat/>
    <w:rPr/>
  </w:style>
  <w:style w:type="character" w:styleId="WW8Num201z0">
    <w:name w:val="WW8Num201z0"/>
    <w:qFormat/>
    <w:rPr>
      <w:u w:val="none"/>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style>
  <w:style w:type="character" w:styleId="WW8Num207z0">
    <w:name w:val="WW8Num207z0"/>
    <w:qFormat/>
    <w:rPr/>
  </w:style>
  <w:style w:type="character" w:styleId="WW8Num208z0">
    <w:name w:val="WW8Num208z0"/>
    <w:qFormat/>
    <w:rPr>
      <w:u w:val="none"/>
    </w:rPr>
  </w:style>
  <w:style w:type="character" w:styleId="WW8Num210z0">
    <w:name w:val="WW8Num210z0"/>
    <w:qFormat/>
    <w:rPr/>
  </w:style>
  <w:style w:type="character" w:styleId="WW8Num211z0">
    <w:name w:val="WW8Num211z0"/>
    <w:qFormat/>
    <w:rPr>
      <w:rFonts w:ascii="Symbol" w:hAnsi="Symbol" w:cs="Symbol"/>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20z0">
    <w:name w:val="WW8Num220z0"/>
    <w:qFormat/>
    <w:rPr/>
  </w:style>
  <w:style w:type="character" w:styleId="WW8Num221z0">
    <w:name w:val="WW8Num221z0"/>
    <w:qFormat/>
    <w:rPr>
      <w:rFonts w:ascii="Symbol" w:hAnsi="Symbol" w:cs="Symbol"/>
    </w:rPr>
  </w:style>
  <w:style w:type="character" w:styleId="WW8Num222z0">
    <w:name w:val="WW8Num222z0"/>
    <w:qFormat/>
    <w:rPr/>
  </w:style>
  <w:style w:type="character" w:styleId="WW8Num223z0">
    <w:name w:val="WW8Num223z0"/>
    <w:qFormat/>
    <w:rPr>
      <w:b w:val="false"/>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u w:val="none"/>
    </w:rPr>
  </w:style>
  <w:style w:type="character" w:styleId="WW8Num227z0">
    <w:name w:val="WW8Num227z0"/>
    <w:qFormat/>
    <w:rPr>
      <w:b w:val="false"/>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u w:val="none"/>
    </w:rPr>
  </w:style>
  <w:style w:type="character" w:styleId="WW8Num231z0">
    <w:name w:val="WW8Num231z0"/>
    <w:qFormat/>
    <w:rPr>
      <w:rFonts w:ascii="Times New Roman" w:hAnsi="Times New Roman" w:cs="Times New Roman"/>
      <w:b w:val="false"/>
      <w:i w:val="false"/>
      <w:sz w:val="20"/>
      <w:u w:val="none"/>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u w:val="none"/>
    </w:rPr>
  </w:style>
  <w:style w:type="character" w:styleId="WW8Num237z0">
    <w:name w:val="WW8Num237z0"/>
    <w:qFormat/>
    <w:rPr/>
  </w:style>
  <w:style w:type="character" w:styleId="WW8NumSt4z0">
    <w:name w:val="WW8NumSt4z0"/>
    <w:qFormat/>
    <w:rPr>
      <w:rFonts w:ascii="Symbol" w:hAnsi="Symbol" w:cs="Symbol"/>
    </w:rPr>
  </w:style>
  <w:style w:type="character" w:styleId="WW8NumSt120z0">
    <w:name w:val="WW8NumSt120z0"/>
    <w:qFormat/>
    <w:rPr>
      <w:rFonts w:ascii="Symbol" w:hAnsi="Symbol" w:cs="Symbol"/>
    </w:rPr>
  </w:style>
  <w:style w:type="character" w:styleId="WW8NumSt222z0">
    <w:name w:val="WW8NumSt2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pPr>
      <w:widowControl/>
      <w:bidi w:val="0"/>
      <w:spacing w:lineRule="auto" w:line="360" w:before="60" w:after="240"/>
      <w:ind w:firstLine="720" w:start="0" w:end="0"/>
    </w:pPr>
    <w:rPr>
      <w:rFonts w:ascii="Times New Roman" w:hAnsi="Times New Roman" w:eastAsia="Times New Roman" w:cs="Times New Roman"/>
      <w:color w:val="auto"/>
      <w:sz w:val="24"/>
      <w:szCs w:val="20"/>
      <w:lang w:val="en-US" w:eastAsia="zh-CN" w:bidi="hi-IN"/>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2">
    <w:name w:val="Body Text 2"/>
    <w:basedOn w:val="Normal"/>
    <w:qFormat/>
    <w:pPr>
      <w:widowControl w:val="false"/>
      <w:spacing w:lineRule="auto" w:line="360"/>
      <w:ind w:firstLine="720" w:start="0" w:end="0"/>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360"/>
      <w:ind w:hanging="720" w:start="720" w:end="0"/>
    </w:pPr>
    <w:rPr>
      <w:b/>
    </w:rPr>
  </w:style>
  <w:style w:type="paragraph" w:styleId="BodyTextIndent3">
    <w:name w:val="Body Text Indent 3"/>
    <w:basedOn w:val="Normal"/>
    <w:qFormat/>
    <w:pPr>
      <w:ind w:hanging="720" w:start="1440" w:end="0"/>
    </w:pPr>
    <w:rPr>
      <w:rFonts w:ascii="Book Antiqua" w:hAnsi="Book Antiqua" w:cs="Book Antiqua"/>
    </w:rPr>
  </w:style>
  <w:style w:type="paragraph" w:styleId="TableContents">
    <w:name w:val="Table Contents"/>
    <w:basedOn w:val="Normal"/>
    <w:qFormat/>
    <w:pPr>
      <w:widowControl w:val="false"/>
      <w:suppressLineNumbers/>
    </w:pPr>
    <w:rPr/>
  </w:style>
  <w:style w:type="paragraph" w:styleId="TableHeading">
    <w:name w:val="Table Heading"/>
    <w:basedOn w:val="Normal"/>
    <w:next w:val="Normal"/>
    <w:qFormat/>
    <w:pPr>
      <w:jc w:val="center"/>
    </w:pPr>
    <w:rPr>
      <w:caps/>
      <w:sz w:val="28"/>
    </w:rPr>
  </w:style>
  <w:style w:type="paragraph" w:styleId="BodyTextIndent">
    <w:name w:val="Body Text Indent"/>
    <w:basedOn w:val="Normal"/>
    <w:pPr>
      <w:spacing w:lineRule="auto" w:line="360" w:before="0" w:after="240"/>
      <w:ind w:firstLine="720" w:start="0" w:end="0"/>
    </w:pPr>
    <w:rPr/>
  </w:style>
  <w:style w:type="paragraph" w:styleId="BlockText">
    <w:name w:val="Block Text"/>
    <w:basedOn w:val="Normal"/>
    <w:qFormat/>
    <w:pPr>
      <w:spacing w:before="0" w:after="240"/>
      <w:ind w:hanging="1080" w:start="1440" w:end="720"/>
    </w:pPr>
    <w:rPr>
      <w:rFonts w:ascii="Arial" w:hAnsi="Arial" w:cs="Arial"/>
    </w:rPr>
  </w:style>
  <w:style w:type="paragraph" w:styleId="BodyText3">
    <w:name w:val="Body Text 3"/>
    <w:basedOn w:val="Normal"/>
    <w:qFormat/>
    <w:pPr>
      <w:widowControl w:val="false"/>
      <w:spacing w:lineRule="auto" w:line="360"/>
      <w:jc w:val="center"/>
    </w:pPr>
    <w:rPr>
      <w:b/>
      <w:sz w:val="28"/>
    </w:rPr>
  </w:style>
  <w:style w:type="paragraph" w:styleId="Subtitle">
    <w:name w:val="Subtitle"/>
    <w:basedOn w:val="Normal"/>
    <w:next w:val="BodyText"/>
    <w:qFormat/>
    <w:pPr>
      <w:spacing w:lineRule="auto" w:line="360"/>
      <w:ind w:hanging="0" w:start="0" w:end="-18"/>
      <w:jc w:val="center"/>
    </w:pPr>
    <w:rPr>
      <w:b/>
      <w:sz w:val="28"/>
    </w:rPr>
  </w:style>
  <w:style w:type="paragraph" w:styleId="Table">
    <w:name w:val="Table"/>
    <w:basedOn w:val="Normal"/>
    <w:qFormat/>
    <w:pPr/>
    <w:rPr/>
  </w:style>
  <w:style w:type="paragraph" w:styleId="PlainText">
    <w:name w:val="Plain Text"/>
    <w:basedOn w:val="Normal"/>
    <w:qFormat/>
    <w:pPr/>
    <w:rPr>
      <w:rFonts w:ascii="Courier New" w:hAnsi="Courier New" w:cs="Courier New"/>
      <w:sz w:val="20"/>
    </w:rPr>
  </w:style>
  <w:style w:type="paragraph" w:styleId="Body1">
    <w:name w:val="Body 1"/>
    <w:basedOn w:val="Normal"/>
    <w:qFormat/>
    <w:pPr>
      <w:spacing w:lineRule="exact" w:line="400"/>
      <w:ind w:firstLine="432" w:start="432" w:end="0"/>
    </w:pPr>
    <w:rPr>
      <w:rFonts w:ascii="Arial" w:hAnsi="Arial" w:cs="Arial"/>
      <w:color w:val="000000"/>
      <w:lang w:eastAsia="en-US"/>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package" Target="embeddings/oleObject1.xlsx"/><Relationship Id="rId13" Type="http://schemas.openxmlformats.org/officeDocument/2006/relationships/image" Target="media/image2.wmf"/><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package" Target="embeddings/oleObject2.xlsx"/><Relationship Id="rId17" Type="http://schemas.openxmlformats.org/officeDocument/2006/relationships/image" Target="media/image3.wmf"/><Relationship Id="rId18" Type="http://schemas.openxmlformats.org/officeDocument/2006/relationships/package" Target="embeddings/oleObject3.xlsx"/><Relationship Id="rId19" Type="http://schemas.openxmlformats.org/officeDocument/2006/relationships/image" Target="media/image4.wmf"/><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footer" Target="footer16.xml"/><Relationship Id="rId25" Type="http://schemas.openxmlformats.org/officeDocument/2006/relationships/footer" Target="footer17.xml"/><Relationship Id="rId26" Type="http://schemas.openxmlformats.org/officeDocument/2006/relationships/footer" Target="footer18.xml"/><Relationship Id="rId27" Type="http://schemas.openxmlformats.org/officeDocument/2006/relationships/footer" Target="footer19.xml"/><Relationship Id="rId28" Type="http://schemas.openxmlformats.org/officeDocument/2006/relationships/footer" Target="footer20.xml"/><Relationship Id="rId29" Type="http://schemas.openxmlformats.org/officeDocument/2006/relationships/footer" Target="footer21.xml"/><Relationship Id="rId30" Type="http://schemas.openxmlformats.org/officeDocument/2006/relationships/footer" Target="footer22.xml"/><Relationship Id="rId31" Type="http://schemas.openxmlformats.org/officeDocument/2006/relationships/footer" Target="footer23.xml"/><Relationship Id="rId32" Type="http://schemas.openxmlformats.org/officeDocument/2006/relationships/footer" Target="footer24.xml"/><Relationship Id="rId33" Type="http://schemas.openxmlformats.org/officeDocument/2006/relationships/footer" Target="footer25.xml"/><Relationship Id="rId34" Type="http://schemas.openxmlformats.org/officeDocument/2006/relationships/footer" Target="footer26.xml"/><Relationship Id="rId35" Type="http://schemas.openxmlformats.org/officeDocument/2006/relationships/footer" Target="footer27.xml"/><Relationship Id="rId36" Type="http://schemas.openxmlformats.org/officeDocument/2006/relationships/footer" Target="footer28.xml"/><Relationship Id="rId37" Type="http://schemas.openxmlformats.org/officeDocument/2006/relationships/footer" Target="footer29.xml"/><Relationship Id="rId38" Type="http://schemas.openxmlformats.org/officeDocument/2006/relationships/footer" Target="footer30.xml"/><Relationship Id="rId39" Type="http://schemas.openxmlformats.org/officeDocument/2006/relationships/footer" Target="footer31.xml"/><Relationship Id="rId40" Type="http://schemas.openxmlformats.org/officeDocument/2006/relationships/footer" Target="footer32.xml"/><Relationship Id="rId41" Type="http://schemas.openxmlformats.org/officeDocument/2006/relationships/footer" Target="footer33.xml"/><Relationship Id="rId42" Type="http://schemas.openxmlformats.org/officeDocument/2006/relationships/footer" Target="footer34.xml"/><Relationship Id="rId43" Type="http://schemas.openxmlformats.org/officeDocument/2006/relationships/footer" Target="footer35.xml"/><Relationship Id="rId44" Type="http://schemas.openxmlformats.org/officeDocument/2006/relationships/footer" Target="footer36.xml"/><Relationship Id="rId45" Type="http://schemas.openxmlformats.org/officeDocument/2006/relationships/footer" Target="footer37.xml"/><Relationship Id="rId46" Type="http://schemas.openxmlformats.org/officeDocument/2006/relationships/footer" Target="footer38.xml"/><Relationship Id="rId47" Type="http://schemas.openxmlformats.org/officeDocument/2006/relationships/footer" Target="footer39.xml"/><Relationship Id="rId48" Type="http://schemas.openxmlformats.org/officeDocument/2006/relationships/footer" Target="footer40.xml"/><Relationship Id="rId49" Type="http://schemas.openxmlformats.org/officeDocument/2006/relationships/footer" Target="footer41.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2000-09-01T10:54:00Z</dcterms:created>
  <dc:creator>ORA</dc:creator>
  <dc:description/>
  <dc:language>en-CA</dc:language>
  <cp:lastModifiedBy>Chris Blunt</cp:lastModifiedBy>
  <cp:lastPrinted>2000-09-01T14:19:00Z</cp:lastPrinted>
  <dcterms:modified xsi:type="dcterms:W3CDTF">2000-09-01T19:38:00Z</dcterms:modified>
  <cp:revision>25</cp:revision>
  <dc:subject/>
  <dc:title>Exhibit Number  :                                              </dc:title>
</cp:coreProperties>
</file>