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double" w:sz="12" w:space="0" w:color="000000"/>
              <w:start w:val="double" w:sz="12" w:space="0" w:color="000000"/>
              <w:bottom w:val="double" w:sz="12" w:space="0" w:color="000000"/>
              <w:end w:val="double" w:sz="12" w:space="0" w:color="000000"/>
            </w:tcBorders>
          </w:tcPr>
          <w:p>
            <w:pPr>
              <w:pStyle w:val="Normal"/>
              <w:snapToGrid w:val="false"/>
              <w:jc w:val="center"/>
              <w:rPr>
                <w:sz w:val="24"/>
              </w:rPr>
            </w:pPr>
            <w:r>
              <w:rPr>
                <w:sz w:val="24"/>
              </w:rPr>
            </w:r>
          </w:p>
          <w:p>
            <w:pPr>
              <w:pStyle w:val="Normal"/>
              <w:jc w:val="center"/>
              <w:rPr>
                <w:rFonts w:ascii="Wide Latin" w:hAnsi="Wide Latin" w:cs="Wide Latin"/>
                <w:sz w:val="48"/>
              </w:rPr>
            </w:pPr>
            <w:r>
              <w:rPr>
                <w:rFonts w:cs="Wide Latin" w:ascii="Wide Latin" w:hAnsi="Wide Latin"/>
                <w:sz w:val="48"/>
              </w:rPr>
            </w:r>
          </w:p>
          <w:p>
            <w:pPr>
              <w:pStyle w:val="Normal"/>
              <w:jc w:val="center"/>
              <w:rPr>
                <w:rFonts w:ascii="Wide Latin" w:hAnsi="Wide Latin" w:cs="Wide Latin"/>
                <w:sz w:val="52"/>
              </w:rPr>
            </w:pPr>
            <w:r>
              <w:rPr>
                <w:rFonts w:cs="Wide Latin" w:ascii="Wide Latin" w:hAnsi="Wide Latin"/>
                <w:sz w:val="48"/>
              </w:rPr>
              <w:t>ORA</w:t>
            </w:r>
          </w:p>
          <w:p>
            <w:pPr>
              <w:pStyle w:val="Normal"/>
              <w:jc w:val="center"/>
              <w:rPr>
                <w:rFonts w:ascii="Arial" w:hAnsi="Arial" w:cs="Arial"/>
                <w:b/>
                <w:sz w:val="28"/>
              </w:rPr>
            </w:pPr>
            <w:r>
              <w:rPr>
                <w:rFonts w:cs="Arial" w:ascii="Arial" w:hAnsi="Arial"/>
                <w:b/>
                <w:sz w:val="28"/>
              </w:rPr>
              <w:t>Office of Ratepayer Advocates</w:t>
            </w:r>
          </w:p>
          <w:p>
            <w:pPr>
              <w:pStyle w:val="Normal"/>
              <w:jc w:val="center"/>
              <w:rPr>
                <w:rFonts w:ascii="Arial" w:hAnsi="Arial" w:cs="Arial"/>
                <w:b/>
                <w:sz w:val="28"/>
              </w:rPr>
            </w:pPr>
            <w:r>
              <w:rPr>
                <w:rFonts w:cs="Arial" w:ascii="Arial" w:hAnsi="Arial"/>
                <w:b/>
                <w:sz w:val="28"/>
              </w:rPr>
              <w:t>California Public Utilities Commission</w:t>
            </w:r>
          </w:p>
          <w:p>
            <w:pPr>
              <w:pStyle w:val="Normal"/>
              <w:jc w:val="center"/>
              <w:rPr>
                <w:b/>
                <w:sz w:val="28"/>
              </w:rPr>
            </w:pPr>
            <w:r>
              <w:rPr>
                <w:rFonts w:cs="Arial" w:ascii="Arial" w:hAnsi="Arial"/>
                <w:b/>
                <w:sz w:val="28"/>
              </w:rPr>
              <w:t>State of California</w:t>
            </w:r>
          </w:p>
          <w:p>
            <w:pPr>
              <w:pStyle w:val="Normal"/>
              <w:jc w:val="center"/>
              <w:rPr>
                <w:b/>
                <w:sz w:val="24"/>
              </w:rPr>
            </w:pPr>
            <w:r>
              <w:rPr>
                <w:b/>
                <w:sz w:val="24"/>
              </w:rPr>
            </w:r>
          </w:p>
          <w:p>
            <w:pPr>
              <w:pStyle w:val="Normal"/>
              <w:jc w:val="center"/>
              <w:rPr>
                <w:sz w:val="24"/>
              </w:rPr>
            </w:pPr>
            <w:r>
              <w:rPr>
                <w:sz w:val="24"/>
              </w:rPr>
            </w:r>
          </w:p>
          <w:p>
            <w:pPr>
              <w:pStyle w:val="Normal"/>
              <w:jc w:val="center"/>
              <w:rPr>
                <w:sz w:val="32"/>
              </w:rPr>
            </w:pPr>
            <w:r>
              <w:rPr>
                <w:sz w:val="32"/>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BriefTitle"/>
              <w:tabs>
                <w:tab w:val="clear" w:pos="5040"/>
              </w:tabs>
              <w:rPr>
                <w:sz w:val="32"/>
              </w:rPr>
            </w:pPr>
            <w:r>
              <w:rPr>
                <w:sz w:val="32"/>
              </w:rPr>
              <w:t>COMMENTS</w:t>
            </w:r>
          </w:p>
          <w:p>
            <w:pPr>
              <w:pStyle w:val="BriefTitle"/>
              <w:tabs>
                <w:tab w:val="clear" w:pos="5040"/>
              </w:tabs>
              <w:rPr>
                <w:sz w:val="32"/>
              </w:rPr>
            </w:pPr>
            <w:r>
              <w:rPr>
                <w:sz w:val="32"/>
              </w:rPr>
              <w:t>Of The Office Of Ratepayer Advocates</w:t>
            </w:r>
          </w:p>
          <w:p>
            <w:pPr>
              <w:pStyle w:val="Heading1"/>
              <w:ind w:hanging="0" w:start="0"/>
              <w:rPr>
                <w:b/>
              </w:rPr>
            </w:pPr>
            <w:r>
              <w:rPr>
                <w:b/>
              </w:rPr>
              <w:t xml:space="preserve">ON THE EFFECTS OF AB 970 </w:t>
            </w:r>
          </w:p>
          <w:p>
            <w:pPr>
              <w:pStyle w:val="Normal"/>
              <w:jc w:val="center"/>
              <w:rPr>
                <w:b/>
                <w:sz w:val="32"/>
              </w:rPr>
            </w:pPr>
            <w:r>
              <w:rPr>
                <w:b/>
                <w:sz w:val="32"/>
              </w:rPr>
              <w:t>ON PROGRAM YEAR 2001 PLANNING</w:t>
            </w:r>
            <w:r>
              <w:rPr>
                <w:sz w:val="32"/>
              </w:rPr>
              <w:t xml:space="preserve"> </w:t>
            </w:r>
          </w:p>
          <w:p>
            <w:pPr>
              <w:pStyle w:val="Normal"/>
              <w:jc w:val="center"/>
              <w:rPr>
                <w:b/>
                <w:sz w:val="28"/>
              </w:rPr>
            </w:pPr>
            <w:r>
              <w:rPr>
                <w:b/>
                <w:sz w:val="28"/>
              </w:rPr>
            </w:r>
          </w:p>
          <w:p>
            <w:pPr>
              <w:pStyle w:val="Normal"/>
              <w:jc w:val="center"/>
              <w:rPr>
                <w:b/>
                <w:sz w:val="28"/>
              </w:rPr>
            </w:pPr>
            <w:r>
              <w:rPr>
                <w:b/>
                <w:sz w:val="28"/>
              </w:rPr>
            </w:r>
          </w:p>
          <w:p>
            <w:pPr>
              <w:pStyle w:val="Heading3"/>
              <w:ind w:hanging="0" w:start="0"/>
              <w:rPr/>
            </w:pPr>
            <w:r>
              <w:rPr/>
              <w:t>Application 99-09-049, et al</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i/>
                <w:i/>
                <w:sz w:val="24"/>
              </w:rPr>
            </w:pPr>
            <w:r>
              <w:rPr>
                <w:rFonts w:cs="Arial" w:ascii="Arial" w:hAnsi="Arial"/>
                <w:b/>
                <w:i/>
                <w:sz w:val="24"/>
              </w:rPr>
              <w:t>San Francisco, California</w:t>
            </w:r>
          </w:p>
          <w:p>
            <w:pPr>
              <w:pStyle w:val="Normal"/>
              <w:jc w:val="center"/>
              <w:rPr>
                <w:rFonts w:ascii="Arial" w:hAnsi="Arial" w:cs="Arial"/>
                <w:b/>
                <w:i/>
                <w:i/>
                <w:sz w:val="24"/>
              </w:rPr>
            </w:pPr>
            <w:r>
              <w:rPr>
                <w:rFonts w:cs="Arial" w:ascii="Arial" w:hAnsi="Arial"/>
                <w:b/>
                <w:i/>
                <w:sz w:val="24"/>
              </w:rPr>
              <w:t>September 26, 2000</w:t>
            </w:r>
          </w:p>
          <w:p>
            <w:pPr>
              <w:pStyle w:val="Normal"/>
              <w:jc w:val="center"/>
              <w:rPr>
                <w:rFonts w:ascii="Arial" w:hAnsi="Arial" w:cs="Arial"/>
                <w:b/>
                <w:i/>
                <w:i/>
                <w:sz w:val="24"/>
              </w:rPr>
            </w:pPr>
            <w:r>
              <w:rPr>
                <w:rFonts w:cs="Arial" w:ascii="Arial" w:hAnsi="Arial"/>
                <w:b/>
                <w:i/>
                <w:sz w:val="24"/>
              </w:rPr>
            </w:r>
          </w:p>
          <w:p>
            <w:pPr>
              <w:pStyle w:val="Normal"/>
              <w:jc w:val="center"/>
              <w:rPr/>
            </w:pPr>
            <w:r>
              <w:rPr/>
            </w:r>
          </w:p>
          <w:p>
            <w:pPr>
              <w:pStyle w:val="Normal"/>
              <w:jc w:val="center"/>
              <w:rPr/>
            </w:pPr>
            <w:r>
              <w:rPr/>
            </w:r>
          </w:p>
          <w:p>
            <w:pPr>
              <w:pStyle w:val="Normal"/>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jc w:val="center"/>
        <w:rPr/>
      </w:pPr>
      <w:r>
        <w:rPr/>
        <w:t>ORA COMMENTS ON THE EFFECTS OF AB 970</w:t>
      </w:r>
    </w:p>
    <w:p>
      <w:pPr>
        <w:pStyle w:val="Normal"/>
        <w:jc w:val="center"/>
        <w:rPr>
          <w:b/>
          <w:sz w:val="24"/>
        </w:rPr>
      </w:pPr>
      <w:r>
        <w:rPr>
          <w:b/>
          <w:sz w:val="24"/>
        </w:rPr>
        <w:t>ON PROGRAM YEAR 2001 PLANNING</w:t>
      </w:r>
    </w:p>
    <w:p>
      <w:pPr>
        <w:pStyle w:val="Normal"/>
        <w:rPr>
          <w:b/>
          <w:sz w:val="24"/>
        </w:rPr>
      </w:pPr>
      <w:r>
        <w:rPr>
          <w:b/>
          <w:sz w:val="24"/>
        </w:rPr>
      </w:r>
    </w:p>
    <w:p>
      <w:pPr>
        <w:pStyle w:val="Normal"/>
        <w:rPr/>
      </w:pPr>
      <w:r>
        <w:rPr>
          <w:b/>
          <w:sz w:val="24"/>
        </w:rPr>
        <w:t>I. INTRODUCTION</w:t>
      </w:r>
      <w:r>
        <w:rPr>
          <w:sz w:val="24"/>
        </w:rPr>
        <w:t>:</w:t>
      </w:r>
    </w:p>
    <w:p>
      <w:pPr>
        <w:pStyle w:val="Normal"/>
        <w:rPr>
          <w:sz w:val="24"/>
        </w:rPr>
      </w:pPr>
      <w:r>
        <w:rPr>
          <w:sz w:val="24"/>
        </w:rPr>
      </w:r>
    </w:p>
    <w:p>
      <w:pPr>
        <w:pStyle w:val="Normal"/>
        <w:spacing w:lineRule="auto" w:line="360"/>
        <w:rPr/>
      </w:pPr>
      <w:r>
        <w:rPr>
          <w:sz w:val="24"/>
        </w:rPr>
        <w:t>ORA appreciates the opportunity, provided by ALJ Bytof’s September 19</w:t>
      </w:r>
      <w:r>
        <w:rPr>
          <w:sz w:val="24"/>
          <w:vertAlign w:val="superscript"/>
        </w:rPr>
        <w:t>th</w:t>
      </w:r>
      <w:r>
        <w:rPr>
          <w:sz w:val="24"/>
        </w:rPr>
        <w:t xml:space="preserve">, 2000 Ruling, to comment on the effects of the Energy Security and Reliability Act of 2000 (ESRA, AB 970) on demand-side related planning activities for Program Year (PY) 2001.  </w:t>
      </w:r>
    </w:p>
    <w:p>
      <w:pPr>
        <w:pStyle w:val="Normal"/>
        <w:rPr>
          <w:sz w:val="24"/>
        </w:rPr>
      </w:pPr>
      <w:r>
        <w:rPr>
          <w:sz w:val="24"/>
        </w:rPr>
      </w:r>
    </w:p>
    <w:p>
      <w:pPr>
        <w:pStyle w:val="BodyText2"/>
        <w:spacing w:lineRule="auto" w:line="360"/>
        <w:rPr/>
      </w:pPr>
      <w:r>
        <w:rPr/>
        <w:t xml:space="preserve">ORA believes that the demand-side features of the ESRA have far-reaching beneficial effects for consumers of electricity and natural gas in California.   These effects can and should be realized by immediate and decisive direction from the Commission to the incumbent providers—PG&amp;E, SCE, SoCalGas, and SDG&amp;E--of demand-side information and financial assistance to consumers.  </w:t>
      </w:r>
    </w:p>
    <w:p>
      <w:pPr>
        <w:pStyle w:val="Normal"/>
        <w:rPr>
          <w:sz w:val="24"/>
        </w:rPr>
      </w:pPr>
      <w:r>
        <w:rPr>
          <w:sz w:val="24"/>
        </w:rPr>
      </w:r>
    </w:p>
    <w:p>
      <w:pPr>
        <w:pStyle w:val="Normal"/>
        <w:spacing w:lineRule="auto" w:line="360"/>
        <w:rPr>
          <w:sz w:val="24"/>
        </w:rPr>
      </w:pPr>
      <w:r>
        <w:rPr>
          <w:sz w:val="24"/>
        </w:rPr>
        <w:t>Commission direction to these UDCs can—and should--be provided in the context of several proceedings that are underway, including:</w:t>
      </w:r>
    </w:p>
    <w:p>
      <w:pPr>
        <w:pStyle w:val="Normal"/>
        <w:numPr>
          <w:ilvl w:val="0"/>
          <w:numId w:val="13"/>
        </w:numPr>
        <w:jc w:val="both"/>
        <w:rPr>
          <w:sz w:val="24"/>
        </w:rPr>
      </w:pPr>
      <w:r>
        <w:rPr>
          <w:sz w:val="24"/>
        </w:rPr>
        <w:t xml:space="preserve">the PY 2001 planning process for Energy Efficiency Public Purpose Programs (EEPPP); </w:t>
      </w:r>
      <w:r>
        <w:rPr>
          <w:rStyle w:val="FootnoteCharacters"/>
          <w:rStyle w:val="FootnoteReference"/>
          <w:sz w:val="24"/>
        </w:rPr>
        <w:footnoteReference w:id="2"/>
      </w:r>
      <w:r>
        <w:rPr>
          <w:sz w:val="24"/>
        </w:rPr>
        <w:t xml:space="preserve">  </w:t>
      </w:r>
    </w:p>
    <w:p>
      <w:pPr>
        <w:pStyle w:val="Normal"/>
        <w:jc w:val="both"/>
        <w:rPr>
          <w:sz w:val="24"/>
        </w:rPr>
      </w:pPr>
      <w:r>
        <w:rPr>
          <w:sz w:val="24"/>
        </w:rPr>
      </w:r>
    </w:p>
    <w:p>
      <w:pPr>
        <w:pStyle w:val="Normal"/>
        <w:numPr>
          <w:ilvl w:val="0"/>
          <w:numId w:val="13"/>
        </w:numPr>
        <w:jc w:val="both"/>
        <w:rPr>
          <w:sz w:val="24"/>
        </w:rPr>
      </w:pPr>
      <w:r>
        <w:rPr>
          <w:sz w:val="24"/>
        </w:rPr>
        <w:t xml:space="preserve">the PY2001 planning process for Low Income Energy Efficiency (LIEE); and, </w:t>
      </w:r>
    </w:p>
    <w:p>
      <w:pPr>
        <w:pStyle w:val="Normal"/>
        <w:rPr>
          <w:sz w:val="24"/>
        </w:rPr>
      </w:pPr>
      <w:r>
        <w:rPr>
          <w:sz w:val="24"/>
        </w:rPr>
      </w:r>
    </w:p>
    <w:p>
      <w:pPr>
        <w:pStyle w:val="Normal"/>
        <w:numPr>
          <w:ilvl w:val="0"/>
          <w:numId w:val="16"/>
        </w:numPr>
        <w:tabs>
          <w:tab w:val="clear" w:pos="720"/>
          <w:tab w:val="left" w:pos="-360" w:leader="none"/>
        </w:tabs>
        <w:rPr>
          <w:sz w:val="24"/>
        </w:rPr>
      </w:pPr>
      <w:r>
        <w:rPr>
          <w:sz w:val="24"/>
        </w:rPr>
        <w:t xml:space="preserve">one or more recent Investigations (OII’s) into the inter-related set of issues associated with current barriers to market entry for various self-generation and customer owned co-generation products, services, and service providers. </w:t>
      </w:r>
      <w:r>
        <w:rPr>
          <w:rStyle w:val="FootnoteCharacters"/>
          <w:rStyle w:val="FootnoteReference"/>
          <w:sz w:val="24"/>
        </w:rPr>
        <w:footnoteReference w:id="3"/>
      </w:r>
      <w:r>
        <w:rPr>
          <w:sz w:val="24"/>
        </w:rPr>
        <w:t xml:space="preserve"> </w:t>
      </w:r>
    </w:p>
    <w:p>
      <w:pPr>
        <w:pStyle w:val="Normal"/>
        <w:rPr>
          <w:sz w:val="24"/>
        </w:rPr>
      </w:pPr>
      <w:r>
        <w:rPr>
          <w:sz w:val="24"/>
        </w:rPr>
      </w:r>
    </w:p>
    <w:p>
      <w:pPr>
        <w:pStyle w:val="BodyText2"/>
        <w:spacing w:lineRule="auto" w:line="360"/>
        <w:rPr/>
      </w:pPr>
      <w:r>
        <w:rPr/>
        <w:t xml:space="preserve">The ESRA was adopted on an emergency basis by the legislature on August 31, 2000, with a four year term, and became effective on the date it was signed into law by the Governor (September 6, 2000).  ORA is pleased that the Commission, by way of the September 19, ALJ Ruling, recognizes that while there are a variety of rate-making issues raised by the ESRA “…it is clear that the Legislature intended that such activities be initiated with the next six months.”  </w:t>
        <w:br/>
      </w:r>
    </w:p>
    <w:p>
      <w:pPr>
        <w:pStyle w:val="Normal"/>
        <w:spacing w:lineRule="auto" w:line="360"/>
        <w:rPr>
          <w:sz w:val="24"/>
        </w:rPr>
      </w:pPr>
      <w:r>
        <w:rPr>
          <w:sz w:val="24"/>
        </w:rPr>
        <w:t xml:space="preserve">There are numerous references in the ESRA to technologies that are installed and operated in “the last mile” that defines the distribution part of the total electrical system and markets (generation, transmission, and distribution). Nowhere in this act are clear and unequivocal definitions provided for such terms as “self-generation,” “cogeneration,” “micro-cogeneration,” or “distributed generation.”  </w:t>
      </w:r>
    </w:p>
    <w:p>
      <w:pPr>
        <w:pStyle w:val="Normal"/>
        <w:rPr>
          <w:sz w:val="24"/>
        </w:rPr>
      </w:pPr>
      <w:r>
        <w:rPr>
          <w:sz w:val="24"/>
        </w:rPr>
      </w:r>
    </w:p>
    <w:p>
      <w:pPr>
        <w:pStyle w:val="BodyText2"/>
        <w:spacing w:lineRule="auto" w:line="360"/>
        <w:rPr/>
      </w:pPr>
      <w:r>
        <w:rPr/>
        <w:t>The lack of specificity regarding these technologies should be seen as an important opportunity for the Commission develop meaningful definitions of these terms as it implements the various directives established by the Legislature to the Commission. It will also be necessary to develop policy rules and meaningful definitions of distributed generation technologies relative to other demand-side measures that are identified in the ESRA as necessary to incorporate into demand side activities and plans for 2001.  This fact should also be seen as an important opportunity for the Commission to begin revising the policy rules that currently govern demand-side related activities that fall under Commission jurisdiction.</w:t>
      </w:r>
    </w:p>
    <w:p>
      <w:pPr>
        <w:pStyle w:val="Normal"/>
        <w:rPr>
          <w:sz w:val="24"/>
        </w:rPr>
      </w:pPr>
      <w:r>
        <w:rPr>
          <w:sz w:val="24"/>
        </w:rPr>
      </w:r>
    </w:p>
    <w:p>
      <w:pPr>
        <w:pStyle w:val="BodyText2"/>
        <w:spacing w:lineRule="auto" w:line="360"/>
        <w:rPr/>
      </w:pPr>
      <w:r>
        <w:rPr/>
        <w:t xml:space="preserve">ORA’s comments are offered, in part, to demonstrate how consumers can benefit from an appropriate application of all of the these ESRA-established, consumer-friendly technologies in various Commission proceedings.  ORA’s comments will also demonstrate how—and why—the demand-side provisions and directions to the Commission contained in the ESRA will establish a fundamental shift in restructuring policy and direction that is commensurate with competition, technological innovation, and environmentally benign economic growth that defines the political economy of the information age in California.  </w:t>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2"/>
        <w:spacing w:lineRule="auto" w:line="360"/>
        <w:rPr/>
      </w:pPr>
      <w:r>
        <w:rPr/>
      </w:r>
    </w:p>
    <w:p>
      <w:pPr>
        <w:pStyle w:val="BodyText3"/>
        <w:rPr/>
      </w:pPr>
      <w:r>
        <w:rPr/>
        <w:t xml:space="preserve"> </w:t>
      </w:r>
      <w:r>
        <w:rPr/>
        <w:t>II. THE “CO-GENERATION POLICY STATEMENT” OF THE ESRA: MEANING AND EFFECTS ON CUSTOMER-OWNED DISTRIBUTED GENERATION PRODUCTS AND SERVICES</w:t>
      </w:r>
    </w:p>
    <w:p>
      <w:pPr>
        <w:pStyle w:val="BodyText2"/>
        <w:spacing w:lineRule="auto" w:line="360"/>
        <w:rPr/>
      </w:pPr>
      <w:r>
        <w:rPr/>
        <w:t xml:space="preserve">Perhaps the most far-reaching statement of policy for consumers in the ESRA is contained in the following passage: </w:t>
      </w:r>
    </w:p>
    <w:p>
      <w:pPr>
        <w:pStyle w:val="Normal"/>
        <w:ind w:start="720" w:end="0"/>
        <w:rPr>
          <w:sz w:val="24"/>
        </w:rPr>
      </w:pPr>
      <w:r>
        <w:rPr>
          <w:sz w:val="24"/>
        </w:rPr>
        <w:t>“</w:t>
      </w:r>
      <w:r>
        <w:rPr>
          <w:sz w:val="24"/>
        </w:rPr>
        <w:t>It is the policy of the state to encourage and support the development of cogeneration as an efficient, environmentally beneficial, competitive energy resource that will enhance the reliability of local generation supply, and promote local business growth.”</w:t>
      </w:r>
      <w:r>
        <w:rPr>
          <w:rStyle w:val="FootnoteCharacters"/>
          <w:rStyle w:val="FootnoteReference"/>
          <w:sz w:val="24"/>
        </w:rPr>
        <w:footnoteReference w:id="4"/>
      </w:r>
    </w:p>
    <w:p>
      <w:pPr>
        <w:pStyle w:val="Normal"/>
        <w:rPr>
          <w:sz w:val="24"/>
        </w:rPr>
      </w:pPr>
      <w:r>
        <w:rPr>
          <w:sz w:val="24"/>
        </w:rPr>
      </w:r>
    </w:p>
    <w:p>
      <w:pPr>
        <w:pStyle w:val="Normal"/>
        <w:spacing w:lineRule="auto" w:line="360"/>
        <w:rPr/>
      </w:pPr>
      <w:r>
        <w:rPr>
          <w:sz w:val="24"/>
        </w:rPr>
        <w:t>“</w:t>
      </w:r>
      <w:r>
        <w:rPr>
          <w:sz w:val="24"/>
        </w:rPr>
        <w:t>Cogeneration,” by definition, refers to a broad class of technologies that have existed for many years which provide energy to the end user in two forms—electrical and thermal (from heat produced by the generation of electrical energy). In this broadest sense, the ESRA could be interpreted as a reaffirmation of federal and state policy that (at least since the 1978 PURPA) recognizes the inherent total efficiency (thermal and electric) effects and benefits of cogeneration technologies as alternatives to central power plants.</w:t>
      </w:r>
      <w:r>
        <w:rPr>
          <w:rStyle w:val="FootnoteCharacters"/>
          <w:rStyle w:val="FootnoteReference"/>
          <w:sz w:val="24"/>
        </w:rPr>
        <w:footnoteReference w:id="5"/>
      </w:r>
      <w:r>
        <w:rPr>
          <w:sz w:val="24"/>
        </w:rPr>
        <w:t xml:space="preserve">  </w:t>
      </w:r>
    </w:p>
    <w:p>
      <w:pPr>
        <w:pStyle w:val="Normal"/>
        <w:spacing w:lineRule="auto" w:line="360"/>
        <w:rPr>
          <w:sz w:val="24"/>
        </w:rPr>
      </w:pPr>
      <w:r>
        <w:rPr>
          <w:sz w:val="24"/>
        </w:rPr>
      </w:r>
    </w:p>
    <w:p>
      <w:pPr>
        <w:pStyle w:val="Normal"/>
        <w:spacing w:lineRule="auto" w:line="360"/>
        <w:rPr/>
      </w:pPr>
      <w:r>
        <w:rPr>
          <w:sz w:val="24"/>
        </w:rPr>
        <w:t>The “cogeneration policy statement” of the ESRA, especially when interpreted in the context of various other provisions and direction to the Commission,  clearly goes well beyond a simple reaffirmation of support for the “PURPA machines” that were supported in years past, and the estimated 1500 MW of load associated with these older technologies.</w:t>
      </w:r>
      <w:r>
        <w:rPr>
          <w:rStyle w:val="FootnoteCharacters"/>
          <w:rStyle w:val="FootnoteReference"/>
          <w:sz w:val="24"/>
        </w:rPr>
        <w:footnoteReference w:id="6"/>
      </w:r>
      <w:r>
        <w:rPr>
          <w:sz w:val="24"/>
        </w:rPr>
        <w:t xml:space="preserve">  These older, “first generation” of co-generation technologies include facilities that use diesel fuel and “old economy” internal combustion engines; as such, these facilities are subject to efficiency and air quality restrictions and requirements. </w:t>
      </w:r>
    </w:p>
    <w:p>
      <w:pPr>
        <w:pStyle w:val="Normal"/>
        <w:spacing w:lineRule="auto" w:line="360"/>
        <w:rPr>
          <w:sz w:val="24"/>
        </w:rPr>
      </w:pPr>
      <w:r>
        <w:rPr>
          <w:sz w:val="24"/>
        </w:rPr>
        <w:t xml:space="preserve">These currently operating co-generation units are addressed in AB970. </w:t>
      </w:r>
      <w:r>
        <w:rPr>
          <w:rStyle w:val="FootnoteCharacters"/>
          <w:rStyle w:val="FootnoteReference"/>
          <w:sz w:val="24"/>
        </w:rPr>
        <w:footnoteReference w:id="7"/>
      </w:r>
    </w:p>
    <w:p>
      <w:pPr>
        <w:pStyle w:val="Normal"/>
        <w:spacing w:lineRule="auto" w:line="360"/>
        <w:rPr>
          <w:sz w:val="24"/>
        </w:rPr>
      </w:pPr>
      <w:r>
        <w:rPr>
          <w:sz w:val="24"/>
        </w:rPr>
      </w:r>
    </w:p>
    <w:p>
      <w:pPr>
        <w:pStyle w:val="Normal"/>
        <w:spacing w:lineRule="auto" w:line="360"/>
        <w:rPr/>
      </w:pPr>
      <w:r>
        <w:rPr>
          <w:sz w:val="24"/>
        </w:rPr>
        <w:t xml:space="preserve">It is also reasonable to interpret the “co-generation policy statement” of the ESRA as supportive of UDC-owned and operated facilities that are “efficient and environmentally beneficial.”  The ESRA anticipates this possibility with provisions that allow the UDCs to seek cost-recovery of such new co-generation facilities. </w:t>
      </w:r>
      <w:r>
        <w:rPr>
          <w:rStyle w:val="FootnoteCharacters"/>
          <w:rStyle w:val="FootnoteReference"/>
          <w:sz w:val="24"/>
        </w:rPr>
        <w:footnoteReference w:id="8"/>
      </w:r>
      <w:r>
        <w:rPr>
          <w:sz w:val="24"/>
        </w:rPr>
        <w:t xml:space="preserve">  </w:t>
      </w:r>
    </w:p>
    <w:p>
      <w:pPr>
        <w:pStyle w:val="Normal"/>
        <w:spacing w:lineRule="auto" w:line="360"/>
        <w:rPr>
          <w:sz w:val="24"/>
        </w:rPr>
      </w:pPr>
      <w:r>
        <w:rPr>
          <w:sz w:val="24"/>
        </w:rPr>
      </w:r>
    </w:p>
    <w:p>
      <w:pPr>
        <w:pStyle w:val="BodyText2"/>
        <w:spacing w:lineRule="auto" w:line="360"/>
        <w:rPr/>
      </w:pPr>
      <w:r>
        <w:rPr/>
        <w:t xml:space="preserve">There are several other passages and features of the ESRA that </w:t>
      </w:r>
      <w:r>
        <w:rPr>
          <w:u w:val="single"/>
        </w:rPr>
        <w:t xml:space="preserve">do </w:t>
      </w:r>
      <w:r>
        <w:rPr/>
        <w:t xml:space="preserve">provide clear direction to the Commission to immediately develop policies and practices that support a variety of customer-owned and operated technologies that will enable consumers to protect themselves from the risks of continuing to rely on the electric grid or the incumbent providers of electric services.  These demand-side features of the ESRA are identified below.   </w:t>
      </w:r>
    </w:p>
    <w:p>
      <w:pPr>
        <w:pStyle w:val="Normal"/>
        <w:rPr>
          <w:sz w:val="24"/>
        </w:rPr>
      </w:pPr>
      <w:r>
        <w:rPr>
          <w:sz w:val="24"/>
        </w:rPr>
      </w:r>
    </w:p>
    <w:p>
      <w:pPr>
        <w:pStyle w:val="BodyText3"/>
        <w:rPr/>
      </w:pPr>
      <w:r>
        <w:rPr/>
        <w:t>III. THE “SELF-GENERATION AND CO-GENERATION POLICY STATEMENT” OF THE ESRA: MEANING AND EFFECTS ON THE INTERRUPTION POLICY, INTERRUPTION PRACTICES, AND OTHER DEMAND-RESPONSIVENESS INITIATIVES OF THE UDCs AND THE ISO</w:t>
      </w:r>
    </w:p>
    <w:p>
      <w:pPr>
        <w:pStyle w:val="Normal"/>
        <w:rPr>
          <w:sz w:val="24"/>
        </w:rPr>
      </w:pPr>
      <w:r>
        <w:rPr>
          <w:sz w:val="24"/>
        </w:rPr>
      </w:r>
    </w:p>
    <w:p>
      <w:pPr>
        <w:pStyle w:val="Normal"/>
        <w:spacing w:lineRule="auto" w:line="360"/>
        <w:rPr>
          <w:sz w:val="24"/>
        </w:rPr>
      </w:pPr>
      <w:r>
        <w:rPr>
          <w:sz w:val="24"/>
        </w:rPr>
        <w:t>The following passage from the ESRA provides and clear, unequivocal direction to the Commission for near term action to promote self-generation products and services by removing current barriers for these technologies at the ISO and UDCs:</w:t>
      </w:r>
    </w:p>
    <w:p>
      <w:pPr>
        <w:pStyle w:val="Normal"/>
        <w:spacing w:lineRule="auto" w:line="360"/>
        <w:rPr>
          <w:sz w:val="24"/>
        </w:rPr>
      </w:pPr>
      <w:r>
        <w:rPr>
          <w:sz w:val="24"/>
        </w:rPr>
      </w:r>
    </w:p>
    <w:p>
      <w:pPr>
        <w:pStyle w:val="Normal"/>
        <w:ind w:start="360" w:end="0"/>
        <w:rPr>
          <w:sz w:val="24"/>
        </w:rPr>
      </w:pPr>
      <w:r>
        <w:rPr>
          <w:sz w:val="24"/>
        </w:rPr>
        <w:t>“</w:t>
      </w:r>
      <w:r>
        <w:rPr>
          <w:sz w:val="24"/>
        </w:rPr>
        <w:t xml:space="preserve">To encourage the continued development, installation, and interconnection of clean and efficient self-generation and cogeneration resources, to improve system reliability for consumers by retaining existing generation and encouraging new generation to connect to the electric grid, and to increase self-sufficiency of consumers of electricity through the deployment of self-generation and cogeneration, both of the following shall occur: </w:t>
      </w:r>
    </w:p>
    <w:p>
      <w:pPr>
        <w:pStyle w:val="Normal"/>
        <w:numPr>
          <w:ilvl w:val="0"/>
          <w:numId w:val="3"/>
        </w:numPr>
        <w:tabs>
          <w:tab w:val="clear" w:pos="720"/>
          <w:tab w:val="left" w:pos="-1440" w:leader="none"/>
        </w:tabs>
        <w:ind w:hanging="360" w:start="720" w:end="0"/>
        <w:rPr>
          <w:sz w:val="24"/>
        </w:rPr>
      </w:pPr>
      <w:r>
        <w:rPr>
          <w:sz w:val="24"/>
        </w:rPr>
        <w:t xml:space="preserve">The commission and the Electricity Oversight Board shall determine if any policy or action undertaken by the Independent System Operator, directly or indirectly, unreasonably discourages the connection of existing self-generation or cogeneration or new self-generation or cogeneration to the grid. </w:t>
      </w:r>
    </w:p>
    <w:p>
      <w:pPr>
        <w:pStyle w:val="Normal"/>
        <w:numPr>
          <w:ilvl w:val="0"/>
          <w:numId w:val="3"/>
        </w:numPr>
        <w:tabs>
          <w:tab w:val="clear" w:pos="720"/>
          <w:tab w:val="left" w:pos="-1440" w:leader="none"/>
        </w:tabs>
        <w:ind w:hanging="360" w:start="720" w:end="0"/>
        <w:rPr>
          <w:sz w:val="24"/>
        </w:rPr>
      </w:pPr>
      <w:r>
        <w:rPr>
          <w:sz w:val="24"/>
        </w:rPr>
        <w:t>If the commission and the Electricity Oversight Board find that any policy or action of the Independent System Operator unreasonably discourages, the connection of existing self-generation or cogeneration or new self-generation or cogeneration to the grid, the commission and the Electricity Oversight Board shall undertake all necessary efforts to revise, mitigate, or eliminate that policy or action of the Independent System Operator.”</w:t>
      </w:r>
    </w:p>
    <w:p>
      <w:pPr>
        <w:pStyle w:val="Normal"/>
        <w:rPr>
          <w:sz w:val="24"/>
        </w:rPr>
      </w:pPr>
      <w:r>
        <w:rPr>
          <w:sz w:val="24"/>
        </w:rPr>
      </w:r>
    </w:p>
    <w:p>
      <w:pPr>
        <w:pStyle w:val="BodyText2"/>
        <w:spacing w:lineRule="auto" w:line="360"/>
        <w:rPr/>
      </w:pPr>
      <w:r>
        <w:rPr/>
        <w:t xml:space="preserve">Clearly this section of the ESRA provides even greater support and definition to the more general “cogeneration policy statement,” by explicit reference to “self-generation” and “self-sufficiency of consumers.”  Moreover, this section explicitly provides direction to the Commission to examine ISO (and by definition, UDC) activities that represent barriers to “clean and efficient” self-generation and cogeneration technologies. </w:t>
      </w:r>
    </w:p>
    <w:p>
      <w:pPr>
        <w:pStyle w:val="Normal"/>
        <w:rPr>
          <w:sz w:val="24"/>
        </w:rPr>
      </w:pPr>
      <w:r>
        <w:rPr>
          <w:sz w:val="24"/>
        </w:rPr>
      </w:r>
    </w:p>
    <w:p>
      <w:pPr>
        <w:pStyle w:val="BodyText2"/>
        <w:spacing w:lineRule="auto" w:line="360"/>
        <w:rPr/>
      </w:pPr>
      <w:r>
        <w:rPr/>
        <w:t xml:space="preserve">The direction provided by the “self-generation and co-generation policy statement” of the ESRA to the Commission and the EOB has, by definition, special effects and importance for plans and activities for other demand-side activities in 2001.  To be effective, the Commission’s investigation into ISO/UDC practices and procedures needs to address several specific elements of ISO/UDC demand-side activities, including the long-standing “interruptible program,” the recently re-established “load management” programs (e.g., “air conditioner cycling,”), and the more recent “demand-side responsiveness” initiatives of 1999 and 2000. </w:t>
      </w:r>
    </w:p>
    <w:p>
      <w:pPr>
        <w:pStyle w:val="BodyText2"/>
        <w:spacing w:lineRule="auto" w:line="360"/>
        <w:rPr/>
      </w:pPr>
      <w:r>
        <w:rPr/>
      </w:r>
    </w:p>
    <w:p>
      <w:pPr>
        <w:pStyle w:val="BodyText2"/>
        <w:spacing w:lineRule="auto" w:line="360"/>
        <w:rPr/>
      </w:pPr>
      <w:r>
        <w:rPr/>
        <w:t>ORA is confident that the Commission’s investigation of the numerous, highly inter-related, and highly “congested” set of issues associated with these demand-side activities at the electric UDCs and the ISO will, per the directive of the ESRA, identify and remedy policies, practices, and procedures which may be unreasonably discouraging new or existing customer-owned and operated distributed generation products and services.</w:t>
      </w:r>
      <w:r>
        <w:rPr>
          <w:rStyle w:val="FootnoteCharacters"/>
          <w:rStyle w:val="FootnoteReference"/>
        </w:rPr>
        <w:footnoteReference w:id="9"/>
      </w:r>
      <w:r>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3"/>
        <w:rPr/>
      </w:pPr>
      <w:r>
        <w:rPr/>
        <w:t xml:space="preserve">IV. THE “INCENTIVES FOR RENEWABLE AND SUPER CLEAN DISTRIBUTED GENERATION” DIRECTIVE OF THE ESRA: MEANING AND EFFECTS ON PY2001 PLANS AND ACTIVITIES  </w:t>
      </w:r>
    </w:p>
    <w:p>
      <w:pPr>
        <w:pStyle w:val="Normal"/>
        <w:rPr>
          <w:sz w:val="24"/>
        </w:rPr>
      </w:pPr>
      <w:r>
        <w:rPr>
          <w:sz w:val="24"/>
        </w:rPr>
      </w:r>
    </w:p>
    <w:p>
      <w:pPr>
        <w:pStyle w:val="Normal"/>
        <w:spacing w:lineRule="auto" w:line="360"/>
        <w:rPr>
          <w:sz w:val="24"/>
        </w:rPr>
      </w:pPr>
      <w:r>
        <w:rPr>
          <w:b/>
          <w:sz w:val="24"/>
        </w:rPr>
        <w:t>IV. A:</w:t>
      </w:r>
      <w:r>
        <w:rPr>
          <w:sz w:val="24"/>
        </w:rPr>
        <w:t xml:space="preserve"> In addition to the “co-generation policy statement” and the “self-generation and co-generation policy statement,” the ESRA establishes—for the first time--legislative direction to the CPUC to pro-actively support customer-owned equipment that is based on “renewable sources of energy and super-clean distributed generation technologies.”</w:t>
      </w:r>
      <w:r>
        <w:rPr>
          <w:rStyle w:val="FootnoteCharacters"/>
          <w:rStyle w:val="FootnoteReference"/>
          <w:sz w:val="24"/>
        </w:rPr>
        <w:footnoteReference w:id="10"/>
      </w:r>
    </w:p>
    <w:p>
      <w:pPr>
        <w:pStyle w:val="Normal"/>
        <w:spacing w:lineRule="auto" w:line="360"/>
        <w:rPr>
          <w:sz w:val="24"/>
        </w:rPr>
      </w:pPr>
      <w:r>
        <w:rPr>
          <w:sz w:val="24"/>
        </w:rPr>
      </w:r>
    </w:p>
    <w:p>
      <w:pPr>
        <w:pStyle w:val="Normal"/>
        <w:spacing w:lineRule="auto" w:line="360"/>
        <w:rPr>
          <w:sz w:val="24"/>
        </w:rPr>
      </w:pPr>
      <w:r>
        <w:rPr>
          <w:sz w:val="24"/>
        </w:rPr>
        <w:t>Taken together, the “co-generation policy statement,” the “self-generation and co-generation policy statement,” and the “renewable sources of energy and super-clean distributed generation technologies" directive of the ESRA leave no doubt that the demand side plans and activities in the Commission’s jurisdiction must support information services and financial assistance to customers of the costs and benefits of installing a range of products that will “unplug” them from the electric grid.</w:t>
      </w:r>
    </w:p>
    <w:p>
      <w:pPr>
        <w:pStyle w:val="Normal"/>
        <w:rPr>
          <w:sz w:val="24"/>
        </w:rPr>
      </w:pPr>
      <w:r>
        <w:rPr>
          <w:sz w:val="24"/>
        </w:rPr>
      </w:r>
    </w:p>
    <w:p>
      <w:pPr>
        <w:pStyle w:val="Normal"/>
        <w:spacing w:lineRule="auto" w:line="360"/>
        <w:rPr>
          <w:sz w:val="24"/>
        </w:rPr>
      </w:pPr>
      <w:r>
        <w:rPr>
          <w:sz w:val="24"/>
        </w:rPr>
        <w:t>ORA believes that there are at least three types of products that conform with the three distributed generation directives of the ESRA:</w:t>
      </w:r>
      <w:r>
        <w:rPr>
          <w:rStyle w:val="FootnoteCharacters"/>
          <w:rStyle w:val="FootnoteReference"/>
          <w:sz w:val="24"/>
        </w:rPr>
        <w:footnoteReference w:id="11"/>
      </w:r>
    </w:p>
    <w:p>
      <w:pPr>
        <w:pStyle w:val="Normal"/>
        <w:rPr>
          <w:sz w:val="24"/>
        </w:rPr>
      </w:pPr>
      <w:r>
        <w:rPr>
          <w:sz w:val="24"/>
        </w:rPr>
      </w:r>
    </w:p>
    <w:p>
      <w:pPr>
        <w:pStyle w:val="Normal"/>
        <w:numPr>
          <w:ilvl w:val="0"/>
          <w:numId w:val="9"/>
        </w:numPr>
        <w:tabs>
          <w:tab w:val="clear" w:pos="720"/>
          <w:tab w:val="left" w:pos="-1440" w:leader="none"/>
        </w:tabs>
        <w:ind w:hanging="360" w:start="720" w:end="0"/>
        <w:rPr>
          <w:sz w:val="24"/>
        </w:rPr>
      </w:pPr>
      <w:r>
        <w:rPr>
          <w:sz w:val="24"/>
        </w:rPr>
        <w:t xml:space="preserve">Customer-owned and operated, </w:t>
      </w:r>
      <w:r>
        <w:rPr>
          <w:sz w:val="24"/>
          <w:u w:val="single"/>
        </w:rPr>
        <w:t>gas-fired fuel cells</w:t>
      </w:r>
      <w:r>
        <w:rPr>
          <w:sz w:val="24"/>
        </w:rPr>
        <w:t xml:space="preserve"> that provide onsite production and use of electrical and thermal energy;</w:t>
      </w:r>
    </w:p>
    <w:p>
      <w:pPr>
        <w:pStyle w:val="Normal"/>
        <w:ind w:start="360" w:end="0"/>
        <w:rPr>
          <w:sz w:val="24"/>
        </w:rPr>
      </w:pPr>
      <w:r>
        <w:rPr>
          <w:sz w:val="24"/>
        </w:rPr>
      </w:r>
    </w:p>
    <w:p>
      <w:pPr>
        <w:pStyle w:val="Normal"/>
        <w:numPr>
          <w:ilvl w:val="0"/>
          <w:numId w:val="9"/>
        </w:numPr>
        <w:tabs>
          <w:tab w:val="clear" w:pos="720"/>
          <w:tab w:val="left" w:pos="-1440" w:leader="none"/>
        </w:tabs>
        <w:ind w:hanging="360" w:start="720" w:end="0"/>
        <w:rPr>
          <w:sz w:val="24"/>
        </w:rPr>
      </w:pPr>
      <w:r>
        <w:rPr>
          <w:sz w:val="24"/>
        </w:rPr>
        <w:t xml:space="preserve">Customer-owned and operated, </w:t>
      </w:r>
      <w:r>
        <w:rPr>
          <w:sz w:val="24"/>
          <w:u w:val="single"/>
        </w:rPr>
        <w:t>gas-fired microturbines</w:t>
      </w:r>
      <w:r>
        <w:rPr>
          <w:sz w:val="24"/>
        </w:rPr>
        <w:t xml:space="preserve"> that provide onsite production and use of electrical and thermal energy;</w:t>
      </w:r>
    </w:p>
    <w:p>
      <w:pPr>
        <w:pStyle w:val="Normal"/>
        <w:ind w:start="360" w:end="0"/>
        <w:rPr>
          <w:sz w:val="24"/>
        </w:rPr>
      </w:pPr>
      <w:r>
        <w:rPr>
          <w:sz w:val="24"/>
        </w:rPr>
      </w:r>
    </w:p>
    <w:p>
      <w:pPr>
        <w:pStyle w:val="Normal"/>
        <w:numPr>
          <w:ilvl w:val="0"/>
          <w:numId w:val="9"/>
        </w:numPr>
        <w:tabs>
          <w:tab w:val="clear" w:pos="720"/>
          <w:tab w:val="left" w:pos="-1440" w:leader="none"/>
        </w:tabs>
        <w:ind w:hanging="360" w:start="720" w:end="0"/>
        <w:rPr>
          <w:sz w:val="24"/>
        </w:rPr>
      </w:pPr>
      <w:r>
        <w:rPr>
          <w:sz w:val="24"/>
        </w:rPr>
        <w:t xml:space="preserve">Customer-owned and operated </w:t>
      </w:r>
      <w:r>
        <w:rPr>
          <w:sz w:val="24"/>
          <w:u w:val="single"/>
        </w:rPr>
        <w:t>photovoltaic systems</w:t>
      </w:r>
      <w:r>
        <w:rPr>
          <w:sz w:val="24"/>
        </w:rPr>
        <w:t xml:space="preserve"> that provide onsite production and use of electrical energy.        </w:t>
      </w:r>
    </w:p>
    <w:p>
      <w:pPr>
        <w:pStyle w:val="Normal"/>
        <w:rPr>
          <w:sz w:val="24"/>
        </w:rPr>
      </w:pPr>
      <w:r>
        <w:rPr>
          <w:sz w:val="24"/>
        </w:rPr>
        <w:t xml:space="preserve">  </w:t>
      </w:r>
    </w:p>
    <w:p>
      <w:pPr>
        <w:pStyle w:val="Normal"/>
        <w:spacing w:lineRule="auto" w:line="360"/>
        <w:rPr/>
      </w:pPr>
      <w:r>
        <w:rPr>
          <w:sz w:val="24"/>
        </w:rPr>
        <w:t xml:space="preserve">Each of these commercially-available technologies represent energy consumer options that will: (a) increase self-sufficiency by largely or entirely meeting all thermal and electrical needs for the building they own or occupy for all months of the year for many years; (b) contribute to a long lasting  reduction in electric system loads during all hours of the summer months of high demand for electricity and high electric prices; (c) contribute to a long lasting reduction in natural gas system loads during all hours of the winter months of high demand and high gas prices; (d) provide a higher </w:t>
      </w:r>
      <w:r>
        <w:rPr>
          <w:sz w:val="24"/>
          <w:u w:val="single"/>
        </w:rPr>
        <w:t>quality</w:t>
      </w:r>
      <w:r>
        <w:rPr>
          <w:sz w:val="24"/>
        </w:rPr>
        <w:t xml:space="preserve"> of electrical power than can be provided by grid-purchased electricity, commensurate with the growing need for consumers to take full advantage of the “internet economy” and associated e-commerce transactions; (e) avoid the environmentally damaging effects attributable to the network of large, central power plants that provide electricity to the grid in California and Western states; and (f) reduce the likelihood of the need of large customers to deploy existing back-up, environment damaging, old economy generation technologies during times of electrical supply-demand imbalances. </w:t>
      </w:r>
    </w:p>
    <w:p>
      <w:pPr>
        <w:pStyle w:val="Normal"/>
        <w:rPr>
          <w:sz w:val="24"/>
        </w:rPr>
      </w:pPr>
      <w:r>
        <w:rPr>
          <w:sz w:val="24"/>
        </w:rPr>
      </w:r>
    </w:p>
    <w:p>
      <w:pPr>
        <w:pStyle w:val="Normal"/>
        <w:spacing w:lineRule="auto" w:line="360"/>
        <w:rPr/>
      </w:pPr>
      <w:r>
        <w:rPr>
          <w:sz w:val="24"/>
        </w:rPr>
        <w:t>These attributes of these three types of distributed generation technologies (fuel cells, microturbines and photovoltaics) have been demonstrated, documented, and chronicled by a variety of sources in recent months.</w:t>
      </w:r>
      <w:r>
        <w:rPr>
          <w:rStyle w:val="FootnoteCharacters"/>
          <w:rStyle w:val="FootnoteReference"/>
          <w:sz w:val="24"/>
        </w:rPr>
        <w:footnoteReference w:id="12"/>
      </w:r>
      <w:r>
        <w:rPr>
          <w:sz w:val="24"/>
        </w:rPr>
        <w:t xml:space="preserve">  </w:t>
      </w:r>
    </w:p>
    <w:p>
      <w:pPr>
        <w:pStyle w:val="Normal"/>
        <w:rPr>
          <w:sz w:val="24"/>
        </w:rPr>
      </w:pPr>
      <w:r>
        <w:rPr>
          <w:sz w:val="24"/>
        </w:rPr>
      </w:r>
    </w:p>
    <w:p>
      <w:pPr>
        <w:pStyle w:val="BodyText2"/>
        <w:spacing w:lineRule="auto" w:line="360"/>
        <w:rPr/>
      </w:pPr>
      <w:r>
        <w:rPr/>
        <w:t xml:space="preserve">Given the clear direction in ESRA to the Commission to support these technologies, the question becomes a matter of how best to integrate the support for these technologies into the energy efficiency plans and activities for 2001 of PG&amp;E, SCE, SoCalGas, and SDG&amp;E.  As described below, this can—and should—be accomplished by immediate direction from the Commission to include and integrate the products and services associated with these distributed generation technologies into their forecasted costs and benefits for PY2001 budgets when the seek Commission authorization and approval this fall. </w:t>
      </w:r>
    </w:p>
    <w:p>
      <w:pPr>
        <w:pStyle w:val="Normal"/>
        <w:rPr>
          <w:sz w:val="24"/>
        </w:rPr>
      </w:pPr>
      <w:r>
        <w:rPr>
          <w:sz w:val="24"/>
        </w:rPr>
      </w:r>
    </w:p>
    <w:p>
      <w:pPr>
        <w:pStyle w:val="BodyText3"/>
        <w:rPr/>
      </w:pPr>
      <w:r>
        <w:rPr/>
        <w:t>IV. B Integrating Distributed Generation Products and Services and Other ESRA into the Energy Efficiency Public Purpose Program Plans and Budgets</w:t>
      </w:r>
    </w:p>
    <w:p>
      <w:pPr>
        <w:pStyle w:val="Normal"/>
        <w:rPr>
          <w:sz w:val="24"/>
        </w:rPr>
      </w:pPr>
      <w:r>
        <w:rPr>
          <w:sz w:val="24"/>
        </w:rPr>
      </w:r>
    </w:p>
    <w:p>
      <w:pPr>
        <w:pStyle w:val="BodyText2"/>
        <w:spacing w:lineRule="auto" w:line="360"/>
        <w:rPr/>
      </w:pPr>
      <w:r>
        <w:rPr/>
        <w:t xml:space="preserve">As noted in the ALJ Ruling, the ESRA provides direction to the Commission to immediately take action to promote some measures which are already integrated into current UDC demand-side activities and plans. The Commission can and should, therefore, simply direct the UDCs to make sure their PY 2001 EEPPP plans, budgets and activities include the following three ESRA directives: </w:t>
      </w:r>
    </w:p>
    <w:p>
      <w:pPr>
        <w:pStyle w:val="Normal"/>
        <w:ind w:start="360" w:end="0"/>
        <w:rPr>
          <w:sz w:val="24"/>
        </w:rPr>
      </w:pPr>
      <w:r>
        <w:rPr>
          <w:sz w:val="24"/>
        </w:rPr>
      </w:r>
    </w:p>
    <w:p>
      <w:pPr>
        <w:pStyle w:val="Normal"/>
        <w:numPr>
          <w:ilvl w:val="0"/>
          <w:numId w:val="8"/>
        </w:numPr>
        <w:tabs>
          <w:tab w:val="clear" w:pos="720"/>
          <w:tab w:val="left" w:pos="-1440" w:leader="none"/>
        </w:tabs>
        <w:ind w:hanging="360" w:start="720" w:end="0"/>
        <w:rPr>
          <w:sz w:val="24"/>
        </w:rPr>
      </w:pPr>
      <w:r>
        <w:rPr>
          <w:sz w:val="24"/>
        </w:rPr>
        <w:t xml:space="preserve">Expansion and acceleration of residential and commercial weatherization programs. </w:t>
      </w:r>
    </w:p>
    <w:p>
      <w:pPr>
        <w:pStyle w:val="Normal"/>
        <w:numPr>
          <w:ilvl w:val="0"/>
          <w:numId w:val="8"/>
        </w:numPr>
        <w:tabs>
          <w:tab w:val="clear" w:pos="720"/>
          <w:tab w:val="left" w:pos="-1440" w:leader="none"/>
        </w:tabs>
        <w:ind w:hanging="360" w:start="720" w:end="0"/>
        <w:rPr>
          <w:sz w:val="24"/>
        </w:rPr>
      </w:pPr>
      <w:r>
        <w:rPr>
          <w:sz w:val="24"/>
        </w:rPr>
        <w:t xml:space="preserve">Expansion and acceleration of programs to inspect and improve the operating efficiency of heating, ventilation, and air-conditioning equipment in new and existing buildings, to ensure that these systems achieve the maximum feasible cost-effective energy. </w:t>
      </w:r>
    </w:p>
    <w:p>
      <w:pPr>
        <w:pStyle w:val="Normal"/>
        <w:numPr>
          <w:ilvl w:val="0"/>
          <w:numId w:val="8"/>
        </w:numPr>
        <w:tabs>
          <w:tab w:val="clear" w:pos="720"/>
          <w:tab w:val="left" w:pos="-1440" w:leader="none"/>
        </w:tabs>
        <w:ind w:hanging="360" w:start="720" w:end="0"/>
        <w:rPr>
          <w:sz w:val="24"/>
        </w:rPr>
      </w:pPr>
      <w:r>
        <w:rPr>
          <w:sz w:val="24"/>
        </w:rPr>
        <w:t>Expansion and acceleration of programs to improve energy efficiency in new buildings, in order to achieve the maximum feasible reductions in uneconomic energy and peak electricity consumption.</w:t>
      </w:r>
    </w:p>
    <w:p>
      <w:pPr>
        <w:pStyle w:val="Normal"/>
        <w:ind w:start="360" w:end="0"/>
        <w:rPr>
          <w:sz w:val="24"/>
        </w:rPr>
      </w:pPr>
      <w:r>
        <w:rPr>
          <w:sz w:val="24"/>
        </w:rPr>
      </w:r>
    </w:p>
    <w:p>
      <w:pPr>
        <w:pStyle w:val="BodyText2"/>
        <w:spacing w:lineRule="auto" w:line="360"/>
        <w:rPr/>
      </w:pPr>
      <w:r>
        <w:rPr/>
        <w:t>The most important change to the EEPPP PY 2001 plans, budgets and activities, however, is associated with the ESRA directives to establish:</w:t>
      </w:r>
    </w:p>
    <w:p>
      <w:pPr>
        <w:pStyle w:val="Normal"/>
        <w:rPr>
          <w:sz w:val="24"/>
        </w:rPr>
      </w:pPr>
      <w:r>
        <w:rPr>
          <w:sz w:val="24"/>
        </w:rPr>
      </w:r>
    </w:p>
    <w:p>
      <w:pPr>
        <w:pStyle w:val="Normal"/>
        <w:numPr>
          <w:ilvl w:val="0"/>
          <w:numId w:val="11"/>
        </w:numPr>
        <w:tabs>
          <w:tab w:val="clear" w:pos="720"/>
          <w:tab w:val="left" w:pos="-1800" w:leader="none"/>
        </w:tabs>
        <w:rPr>
          <w:sz w:val="24"/>
        </w:rPr>
      </w:pPr>
      <w:r>
        <w:rPr>
          <w:sz w:val="24"/>
        </w:rPr>
        <w:t>“</w:t>
      </w:r>
      <w:r>
        <w:rPr>
          <w:sz w:val="24"/>
        </w:rPr>
        <w:t xml:space="preserve">Incentives for load control and distributed generation to be paid for enhancing reliability (Item 6); and, </w:t>
      </w:r>
    </w:p>
    <w:p>
      <w:pPr>
        <w:pStyle w:val="Normal"/>
        <w:numPr>
          <w:ilvl w:val="0"/>
          <w:numId w:val="11"/>
        </w:numPr>
        <w:tabs>
          <w:tab w:val="clear" w:pos="720"/>
          <w:tab w:val="left" w:pos="-1800" w:leader="none"/>
        </w:tabs>
        <w:rPr>
          <w:sz w:val="24"/>
        </w:rPr>
      </w:pPr>
      <w:r>
        <w:rPr>
          <w:sz w:val="24"/>
        </w:rPr>
        <w:t>“</w:t>
      </w:r>
      <w:r>
        <w:rPr>
          <w:sz w:val="24"/>
        </w:rPr>
        <w:t>Differential incentives for renewable or super clean distributed generation resources.” (Item 7)</w:t>
      </w:r>
    </w:p>
    <w:p>
      <w:pPr>
        <w:pStyle w:val="Normal"/>
        <w:rPr>
          <w:sz w:val="24"/>
        </w:rPr>
      </w:pPr>
      <w:r>
        <w:rPr>
          <w:sz w:val="24"/>
        </w:rPr>
      </w:r>
    </w:p>
    <w:p>
      <w:pPr>
        <w:pStyle w:val="BodyText2"/>
        <w:spacing w:lineRule="auto" w:line="360"/>
        <w:rPr/>
      </w:pPr>
      <w:r>
        <w:rPr/>
        <w:t xml:space="preserve">These directives are clearly linked to the “co-generation policy statement,” the “self-generation and co-generation policy statement” contained in other sections of the ESRA, and to the three distributed generation technologies described and defined above. To NOT alter PY2001 EEPPP plans, budgets and activities to integrate the three distributed generation products and services would clearly be non-responsive to the new state law that will remain in effect for four years. </w:t>
      </w:r>
    </w:p>
    <w:p>
      <w:pPr>
        <w:pStyle w:val="Normal"/>
        <w:spacing w:lineRule="auto" w:line="360"/>
        <w:rPr>
          <w:sz w:val="24"/>
        </w:rPr>
      </w:pPr>
      <w:r>
        <w:rPr>
          <w:sz w:val="24"/>
        </w:rPr>
      </w:r>
    </w:p>
    <w:p>
      <w:pPr>
        <w:pStyle w:val="Normal"/>
        <w:spacing w:lineRule="auto" w:line="360"/>
        <w:rPr>
          <w:sz w:val="24"/>
        </w:rPr>
      </w:pPr>
      <w:r>
        <w:rPr>
          <w:sz w:val="24"/>
        </w:rPr>
        <w:t>Fortunately, current EEPPP activities include programs and program designs which can easily be re-designed to accommodate fuel cells, microturbines, and photovoltaics products and services.  This can, and should be accomplished by a Commission directive to the UDCs to modify their PY 2001 plans, budgets, and forecasts of costs and benefits in the following ways:</w:t>
      </w:r>
    </w:p>
    <w:p>
      <w:pPr>
        <w:pStyle w:val="Normal"/>
        <w:numPr>
          <w:ilvl w:val="0"/>
          <w:numId w:val="6"/>
        </w:numPr>
        <w:tabs>
          <w:tab w:val="clear" w:pos="720"/>
          <w:tab w:val="left" w:pos="-1800" w:leader="none"/>
        </w:tabs>
        <w:rPr>
          <w:sz w:val="24"/>
        </w:rPr>
      </w:pPr>
      <w:r>
        <w:rPr>
          <w:sz w:val="24"/>
        </w:rPr>
        <w:t>Include customized information to consumers on the costs and benefits of fuel cells, microturbines and photovoltaic technologies in the Energy Management Services program offering on the Joint Website.</w:t>
      </w:r>
    </w:p>
    <w:p>
      <w:pPr>
        <w:pStyle w:val="Normal"/>
        <w:rPr>
          <w:sz w:val="24"/>
        </w:rPr>
      </w:pPr>
      <w:r>
        <w:rPr>
          <w:sz w:val="24"/>
        </w:rPr>
      </w:r>
    </w:p>
    <w:p>
      <w:pPr>
        <w:pStyle w:val="Normal"/>
        <w:numPr>
          <w:ilvl w:val="0"/>
          <w:numId w:val="6"/>
        </w:numPr>
        <w:tabs>
          <w:tab w:val="clear" w:pos="720"/>
          <w:tab w:val="left" w:pos="-1800" w:leader="none"/>
        </w:tabs>
        <w:rPr>
          <w:sz w:val="24"/>
        </w:rPr>
      </w:pPr>
      <w:r>
        <w:rPr>
          <w:sz w:val="24"/>
        </w:rPr>
        <w:t>Re-design the multi-family element of the Residential Contractor Performance (RCP) to: (a) include financial assistance for fuel cells, microturbines, and photovoltaics in existing buildings that have central heating and central cooling systems, with financial assistance levels comparable to the levels for high efficiency HVAC systems; (b) eliminate financial assistance for products and measures other than fuel cells, microturbines, photovoltaics and high efficiency HVAC; (c) require the installation of energy management control technologies for lighting systems and HVAC systems as a condition for financial assistance for high efficiency HVAC systems, fuel cells, microturbines and photovoltaics.</w:t>
      </w:r>
    </w:p>
    <w:p>
      <w:pPr>
        <w:pStyle w:val="Normal"/>
        <w:rPr>
          <w:sz w:val="24"/>
        </w:rPr>
      </w:pPr>
      <w:r>
        <w:rPr>
          <w:sz w:val="24"/>
        </w:rPr>
      </w:r>
    </w:p>
    <w:p>
      <w:pPr>
        <w:pStyle w:val="Normal"/>
        <w:numPr>
          <w:ilvl w:val="0"/>
          <w:numId w:val="6"/>
        </w:numPr>
        <w:tabs>
          <w:tab w:val="clear" w:pos="720"/>
          <w:tab w:val="left" w:pos="-1800" w:leader="none"/>
        </w:tabs>
        <w:rPr>
          <w:sz w:val="24"/>
        </w:rPr>
      </w:pPr>
      <w:r>
        <w:rPr>
          <w:sz w:val="24"/>
        </w:rPr>
        <w:t>Re-design the Small/Medium Businesses Standard Performance Contract (SPC) program to: (a) include financial assistance for fuel cells, microturbines, and photovoltaic systems in existing buildings that have central heating and central cooling systems with financial assistance levels comparable to the levels for high efficiency HVAC systems; (b) eliminate financial assistance for products and measures other than fuel cells, microturbines, photovoltaics and high efficiency HVAC; (c) require the installation of energy management control technologies for lighting systems and HVAC systems as a condition for financial assistance for high efficiency HVAC systems, fuel cells, microturbines and photovoltaics.</w:t>
      </w:r>
    </w:p>
    <w:p>
      <w:pPr>
        <w:pStyle w:val="Normal"/>
        <w:rPr>
          <w:sz w:val="24"/>
        </w:rPr>
      </w:pPr>
      <w:r>
        <w:rPr>
          <w:sz w:val="24"/>
        </w:rPr>
      </w:r>
    </w:p>
    <w:p>
      <w:pPr>
        <w:pStyle w:val="Normal"/>
        <w:numPr>
          <w:ilvl w:val="0"/>
          <w:numId w:val="6"/>
        </w:numPr>
        <w:tabs>
          <w:tab w:val="clear" w:pos="720"/>
          <w:tab w:val="left" w:pos="-1800" w:leader="none"/>
        </w:tabs>
        <w:rPr>
          <w:sz w:val="24"/>
        </w:rPr>
      </w:pPr>
      <w:r>
        <w:rPr>
          <w:sz w:val="24"/>
        </w:rPr>
        <w:t xml:space="preserve">Re-design the Residential New Construction programs to include: (a) builder incentives for photovoltaic systems in new single family buildings that would have been built with standard central cooling systems; (b) builder incentives for fuel cells, microturbines and photovoltaic systems for new multi-family structures that would have been built with standard central heating and cooling systems; (c) incentive amounts no greater than the amounts provided by the CEC’s photovolatic “buydown” program.   </w:t>
      </w:r>
    </w:p>
    <w:p>
      <w:pPr>
        <w:pStyle w:val="Normal"/>
        <w:rPr>
          <w:sz w:val="24"/>
        </w:rPr>
      </w:pPr>
      <w:r>
        <w:rPr>
          <w:sz w:val="24"/>
        </w:rPr>
      </w:r>
    </w:p>
    <w:p>
      <w:pPr>
        <w:pStyle w:val="BodyText2"/>
        <w:spacing w:lineRule="auto" w:line="360"/>
        <w:rPr/>
      </w:pPr>
      <w:r>
        <w:rPr/>
        <w:t>Each of these re-designs can be integrated into the UDC plans, budgets, and forecasted costs and benefits for PY2001, with no delay in the planning and authorization process. The information necessary to include the new distributed generation technologies (e.g., per unit costs and load impacts) has been available to UDC program managers and planners.</w:t>
      </w:r>
      <w:r>
        <w:rPr>
          <w:rStyle w:val="FootnoteCharacters"/>
          <w:rStyle w:val="FootnoteReference"/>
        </w:rPr>
        <w:footnoteReference w:id="13"/>
      </w:r>
      <w:r>
        <w:rPr/>
        <w:t xml:space="preserve">  Changes in measurement and verification protocols used in the SPC and RCP programs to address the new distributed generation technologies should be straightforward and the application of these protocols into the verification and payment process for these two programs should be much easier than for some measures currently supported in these programs.  </w:t>
      </w:r>
    </w:p>
    <w:p>
      <w:pPr>
        <w:pStyle w:val="Normal"/>
        <w:rPr>
          <w:sz w:val="24"/>
        </w:rPr>
      </w:pPr>
      <w:r>
        <w:rPr>
          <w:sz w:val="24"/>
        </w:rPr>
      </w:r>
    </w:p>
    <w:p>
      <w:pPr>
        <w:pStyle w:val="BodyText2"/>
        <w:spacing w:lineRule="auto" w:line="360"/>
        <w:rPr/>
      </w:pPr>
      <w:r>
        <w:rPr/>
        <w:t>To further ensure the effectiveness of these re-designs, and responsiveness to the ESRA, ORA recommends that the Commission adopt the following new energy efficiency Policy Rule:</w:t>
      </w:r>
    </w:p>
    <w:p>
      <w:pPr>
        <w:pStyle w:val="Normal"/>
        <w:rPr>
          <w:sz w:val="24"/>
        </w:rPr>
      </w:pPr>
      <w:r>
        <w:rPr>
          <w:sz w:val="24"/>
        </w:rPr>
      </w:r>
    </w:p>
    <w:p>
      <w:pPr>
        <w:pStyle w:val="BodyTextIndent"/>
        <w:rPr/>
      </w:pPr>
      <w:r>
        <w:rPr/>
        <w:t>“</w:t>
      </w:r>
      <w:r>
        <w:rPr/>
        <w:t>It is the policy of the state and the Commission to encourage and support the development of distributed generation technologies, including fuel cells, microturbines, and photovoltaics, as efficient, environmentally beneficial, competitive energy resources that will enhance the reliability of local generation supply, and promote local business growth.”</w:t>
      </w:r>
    </w:p>
    <w:p>
      <w:pPr>
        <w:pStyle w:val="Normal"/>
        <w:rPr>
          <w:sz w:val="24"/>
        </w:rPr>
      </w:pPr>
      <w:r>
        <w:rPr>
          <w:sz w:val="24"/>
        </w:rPr>
        <w:t xml:space="preserve"> </w:t>
      </w:r>
    </w:p>
    <w:p>
      <w:pPr>
        <w:pStyle w:val="Normal"/>
        <w:spacing w:lineRule="auto" w:line="360"/>
        <w:rPr/>
      </w:pPr>
      <w:r>
        <w:rPr>
          <w:sz w:val="24"/>
        </w:rPr>
        <w:t>An immediate directive from the Commission</w:t>
      </w:r>
      <w:r>
        <w:rPr>
          <w:rStyle w:val="FootnoteCharacters"/>
          <w:rStyle w:val="FootnoteReference"/>
          <w:sz w:val="24"/>
        </w:rPr>
        <w:footnoteReference w:id="14"/>
      </w:r>
      <w:r>
        <w:rPr>
          <w:sz w:val="24"/>
        </w:rPr>
        <w:t xml:space="preserve"> to pass through the ESRA direction to the incumbent program administrators for PY2001 should not produce any delay in the authorization process.  If the Commission wishes to ensure a timely application of the  distributive generation policy rule and the timely re-design of current programs to accommodate the ESRA re-direction, a wide variety of additional directives from the Commission wold be helpful. These potential supplemental directives include the following:</w:t>
      </w:r>
    </w:p>
    <w:p>
      <w:pPr>
        <w:pStyle w:val="Normal"/>
        <w:rPr>
          <w:sz w:val="24"/>
        </w:rPr>
      </w:pPr>
      <w:r>
        <w:rPr>
          <w:sz w:val="24"/>
        </w:rPr>
      </w:r>
    </w:p>
    <w:p>
      <w:pPr>
        <w:pStyle w:val="Normal"/>
        <w:numPr>
          <w:ilvl w:val="0"/>
          <w:numId w:val="5"/>
        </w:numPr>
        <w:tabs>
          <w:tab w:val="clear" w:pos="720"/>
          <w:tab w:val="left" w:pos="-1800" w:leader="none"/>
        </w:tabs>
        <w:rPr>
          <w:sz w:val="24"/>
        </w:rPr>
      </w:pPr>
      <w:r>
        <w:rPr>
          <w:sz w:val="24"/>
        </w:rPr>
        <w:t>Eliminate financial assistance in the Non-residential New Construction program category for Industrial and Agricultural sectors.</w:t>
      </w:r>
    </w:p>
    <w:p>
      <w:pPr>
        <w:pStyle w:val="Normal"/>
        <w:numPr>
          <w:ilvl w:val="0"/>
          <w:numId w:val="5"/>
        </w:numPr>
        <w:tabs>
          <w:tab w:val="clear" w:pos="720"/>
          <w:tab w:val="left" w:pos="-1800" w:leader="none"/>
        </w:tabs>
        <w:rPr>
          <w:sz w:val="24"/>
        </w:rPr>
      </w:pPr>
      <w:r>
        <w:rPr>
          <w:sz w:val="24"/>
        </w:rPr>
        <w:t>Eliminate participation eligibility for financial assistance for public agency customers.</w:t>
      </w:r>
    </w:p>
    <w:p>
      <w:pPr>
        <w:pStyle w:val="Normal"/>
        <w:numPr>
          <w:ilvl w:val="0"/>
          <w:numId w:val="5"/>
        </w:numPr>
        <w:tabs>
          <w:tab w:val="clear" w:pos="720"/>
          <w:tab w:val="left" w:pos="-1800" w:leader="none"/>
        </w:tabs>
        <w:rPr>
          <w:sz w:val="24"/>
        </w:rPr>
      </w:pPr>
      <w:r>
        <w:rPr>
          <w:sz w:val="24"/>
        </w:rPr>
        <w:t>Eliminate financial assistance in the form of rebates in non-residential retrofit markets.</w:t>
      </w:r>
    </w:p>
    <w:p>
      <w:pPr>
        <w:pStyle w:val="Normal"/>
        <w:numPr>
          <w:ilvl w:val="0"/>
          <w:numId w:val="5"/>
        </w:numPr>
        <w:tabs>
          <w:tab w:val="clear" w:pos="720"/>
          <w:tab w:val="left" w:pos="-1800" w:leader="none"/>
        </w:tabs>
        <w:rPr>
          <w:sz w:val="24"/>
        </w:rPr>
      </w:pPr>
      <w:r>
        <w:rPr>
          <w:sz w:val="24"/>
        </w:rPr>
        <w:t xml:space="preserve">Make eligible for financial assistance in the form provided by the MF element of the RCP program and the Small/Medium Business SPC program, thermal energy storage technologies, with eligibility for financial assistance comparable to the conditions for high efficiency HVAC equipment. </w:t>
      </w:r>
    </w:p>
    <w:p>
      <w:pPr>
        <w:pStyle w:val="Normal"/>
        <w:numPr>
          <w:ilvl w:val="0"/>
          <w:numId w:val="5"/>
        </w:numPr>
        <w:tabs>
          <w:tab w:val="clear" w:pos="720"/>
          <w:tab w:val="left" w:pos="-1800" w:leader="none"/>
        </w:tabs>
        <w:rPr>
          <w:sz w:val="24"/>
        </w:rPr>
      </w:pPr>
      <w:r>
        <w:rPr>
          <w:sz w:val="24"/>
        </w:rPr>
        <w:t xml:space="preserve">Make eligible for financial assistance in the form provided by the SF element of the RCP program, integrated packages of measures consisting of gas absorption chillers, duct repair, and energy management control technologies for central heating and cooling systems. </w:t>
      </w:r>
    </w:p>
    <w:p>
      <w:pPr>
        <w:pStyle w:val="Normal"/>
        <w:numPr>
          <w:ilvl w:val="0"/>
          <w:numId w:val="5"/>
        </w:numPr>
        <w:tabs>
          <w:tab w:val="clear" w:pos="720"/>
          <w:tab w:val="left" w:pos="-1800" w:leader="none"/>
        </w:tabs>
        <w:rPr>
          <w:sz w:val="24"/>
        </w:rPr>
      </w:pPr>
      <w:r>
        <w:rPr>
          <w:sz w:val="24"/>
        </w:rPr>
        <w:t>Eliminate EMS services other than the offerings provided by the upgraded, online information services provided at the Joint Energy Efficiency Website.</w:t>
      </w:r>
    </w:p>
    <w:p>
      <w:pPr>
        <w:pStyle w:val="Normal"/>
        <w:numPr>
          <w:ilvl w:val="0"/>
          <w:numId w:val="5"/>
        </w:numPr>
        <w:tabs>
          <w:tab w:val="clear" w:pos="720"/>
          <w:tab w:val="left" w:pos="-1800" w:leader="none"/>
        </w:tabs>
        <w:rPr>
          <w:sz w:val="24"/>
        </w:rPr>
      </w:pPr>
      <w:r>
        <w:rPr>
          <w:sz w:val="24"/>
        </w:rPr>
        <w:t>Eliminate the Third Party Initiative (TPI) activity beyond what is currently authorized from PY2000.</w:t>
      </w:r>
    </w:p>
    <w:p>
      <w:pPr>
        <w:pStyle w:val="Normal"/>
        <w:numPr>
          <w:ilvl w:val="0"/>
          <w:numId w:val="5"/>
        </w:numPr>
        <w:tabs>
          <w:tab w:val="clear" w:pos="720"/>
          <w:tab w:val="left" w:pos="-1800" w:leader="none"/>
        </w:tabs>
        <w:rPr>
          <w:sz w:val="24"/>
        </w:rPr>
      </w:pPr>
      <w:r>
        <w:rPr>
          <w:sz w:val="24"/>
        </w:rPr>
        <w:t xml:space="preserve">Limit any upstream market transformation intervention strategies or financial assistance interventions to upstream market players (i.e., manufacturers, wholesale or retail outlets), and replace these efforts with information services in the form of direct links at the Joint Energy Efficiency Website to relevant websites of the Consortium for Energy Efficiency.  </w:t>
      </w:r>
    </w:p>
    <w:p>
      <w:pPr>
        <w:pStyle w:val="Normal"/>
        <w:numPr>
          <w:ilvl w:val="0"/>
          <w:numId w:val="5"/>
        </w:numPr>
        <w:tabs>
          <w:tab w:val="clear" w:pos="720"/>
          <w:tab w:val="left" w:pos="-1800" w:leader="none"/>
        </w:tabs>
        <w:rPr>
          <w:sz w:val="24"/>
        </w:rPr>
      </w:pPr>
      <w:r>
        <w:rPr>
          <w:sz w:val="24"/>
        </w:rPr>
        <w:t>Eliminate the dual reporting requirements associated with the CBEE’s 14 program category types, and replace the requirements with the continued use of program typologies identified in the Reporting Requirements Manual when reporting budgets, forecasted costs and benefits, and recorded expenditures and recorded costs and benefits.</w:t>
      </w:r>
    </w:p>
    <w:p>
      <w:pPr>
        <w:pStyle w:val="Normal"/>
        <w:numPr>
          <w:ilvl w:val="0"/>
          <w:numId w:val="5"/>
        </w:numPr>
        <w:tabs>
          <w:tab w:val="clear" w:pos="720"/>
          <w:tab w:val="left" w:pos="-1800" w:leader="none"/>
        </w:tabs>
        <w:rPr>
          <w:sz w:val="24"/>
        </w:rPr>
      </w:pPr>
      <w:r>
        <w:rPr>
          <w:sz w:val="24"/>
        </w:rPr>
        <w:t>Eliminate any reporting requirements for the Public Purpose Test (PPT) and “market effects multipliers) when reporting budgets, forecasted costs and benefits, and recorded expenditures and recorded costs and benefits.</w:t>
      </w:r>
    </w:p>
    <w:p>
      <w:pPr>
        <w:pStyle w:val="Normal"/>
        <w:numPr>
          <w:ilvl w:val="0"/>
          <w:numId w:val="5"/>
        </w:numPr>
        <w:tabs>
          <w:tab w:val="clear" w:pos="720"/>
          <w:tab w:val="left" w:pos="-1800" w:leader="none"/>
        </w:tabs>
        <w:rPr>
          <w:sz w:val="24"/>
        </w:rPr>
      </w:pPr>
      <w:r>
        <w:rPr>
          <w:sz w:val="24"/>
        </w:rPr>
        <w:t xml:space="preserve">Replace the current “milestones based” shareholder incentives mechanism with a “net benefits-based” mechanism, in which “net benefits” is defined the way it was for “shared savings programs” in the PY94-97 era, and no benefits expected to be developed or reported for Information-only services or EMS services, and no change in the method for computing the earnings caps or current designation of net benefits established on a total portfolio basis, but all costs and benefits reported (ex post and ex ante) in accordance with the Reporting Requirements Manual.  </w:t>
      </w:r>
    </w:p>
    <w:p>
      <w:pPr>
        <w:pStyle w:val="Normal"/>
        <w:numPr>
          <w:ilvl w:val="0"/>
          <w:numId w:val="5"/>
        </w:numPr>
        <w:tabs>
          <w:tab w:val="clear" w:pos="720"/>
          <w:tab w:val="left" w:pos="-1800" w:leader="none"/>
        </w:tabs>
        <w:rPr>
          <w:sz w:val="24"/>
        </w:rPr>
      </w:pPr>
      <w:r>
        <w:rPr>
          <w:sz w:val="24"/>
        </w:rPr>
        <w:t xml:space="preserve">Include a reporting of costs and benefits, ex ante, and ex post, of: (a) the Utility Cost Test; (b) the TRC test; and (c) the Societal Test version of the TRC test, with the difference between the TRC and Societal test version limited to the inclusion of externalities (i.e., environmental and/or security and reliability adders), and “high” and “low” scenario for the Societal Test only.  </w:t>
      </w:r>
    </w:p>
    <w:p>
      <w:pPr>
        <w:pStyle w:val="Normal"/>
        <w:rPr>
          <w:sz w:val="24"/>
        </w:rPr>
      </w:pPr>
      <w:r>
        <w:rPr>
          <w:sz w:val="24"/>
        </w:rPr>
      </w:r>
    </w:p>
    <w:p>
      <w:pPr>
        <w:pStyle w:val="BodyText2"/>
        <w:spacing w:lineRule="auto" w:line="360"/>
        <w:rPr/>
      </w:pPr>
      <w:r>
        <w:rPr/>
        <w:t>ORA believes each of the potential supplemental directives by the Commission will significantly improve the ability of the UDCs to complete the PY 2001 planning and authorization process of the current schedule. In most cases, these potential supplemental directives can be justified on the progress being made in the workshop process, or by the need to account for the expanded energy efficiency program activities in 2000-2001 at the CEC, established by the ESRA.</w:t>
      </w:r>
      <w:r>
        <w:rPr>
          <w:rStyle w:val="FootnoteCharacters"/>
          <w:rStyle w:val="FootnoteReference"/>
        </w:rPr>
        <w:footnoteReference w:id="15"/>
      </w:r>
    </w:p>
    <w:p>
      <w:pPr>
        <w:pStyle w:val="BodyText2"/>
        <w:spacing w:lineRule="auto" w:line="360"/>
        <w:rPr/>
      </w:pPr>
      <w:r>
        <w:rPr/>
      </w:r>
    </w:p>
    <w:p>
      <w:pPr>
        <w:pStyle w:val="BodyText2"/>
        <w:spacing w:lineRule="auto" w:line="360"/>
        <w:rPr/>
      </w:pPr>
      <w:r>
        <w:rPr/>
        <w:t xml:space="preserve"> </w:t>
      </w:r>
      <w:r>
        <w:rPr/>
        <w:t xml:space="preserve">It is not necessary for the Commission to include each and every one of recommended supplemental directives at the time the Commission issues the four “core” directives recommended by ORA. These supplemental directives, which can and should account for information contained in current and planned workshops, can be issued in a series of sets of directives throughout the remainder of the PY 2001 planning process. ORA is confident, however, that the recommended distributed generation directives and the recommended supplemental directives will produce PY2000 portfolios that are highly responsive to the urgency nature and specific directives to the CPUC contained in the ESRA.   </w:t>
      </w:r>
    </w:p>
    <w:p>
      <w:pPr>
        <w:pStyle w:val="Normal"/>
        <w:rPr>
          <w:sz w:val="24"/>
        </w:rPr>
      </w:pPr>
      <w:r>
        <w:rPr>
          <w:sz w:val="24"/>
        </w:rPr>
      </w:r>
    </w:p>
    <w:p>
      <w:pPr>
        <w:pStyle w:val="BodyText3"/>
        <w:rPr/>
      </w:pPr>
      <w:r>
        <w:rPr/>
        <w:t>IV. C Integrating Distributed Generation Products and Services into the Low Income</w:t>
      </w:r>
      <w:r>
        <w:rPr>
          <w:b w:val="false"/>
        </w:rPr>
        <w:t xml:space="preserve"> </w:t>
      </w:r>
      <w:r>
        <w:rPr/>
        <w:t>Energy Efficiency Public Purpose Program Plans and Budgets</w:t>
      </w:r>
    </w:p>
    <w:p>
      <w:pPr>
        <w:pStyle w:val="Normal"/>
        <w:rPr>
          <w:sz w:val="24"/>
        </w:rPr>
      </w:pPr>
      <w:r>
        <w:rPr>
          <w:sz w:val="24"/>
        </w:rPr>
      </w:r>
    </w:p>
    <w:p>
      <w:pPr>
        <w:pStyle w:val="BodyText2"/>
        <w:spacing w:lineRule="auto" w:line="360"/>
        <w:rPr/>
      </w:pPr>
      <w:r>
        <w:rPr/>
        <w:t>A few of the directives to the Commission in the ESRA also relate to, and therefore, should be addressed in, the PY2001 plans, budgets, and forecasted costs and benefits from LIEE funds and activities. It is less clear, however, what or how to modify the LIEE activities for PY2001 to account for the effects of the ESRA.</w:t>
      </w:r>
    </w:p>
    <w:p>
      <w:pPr>
        <w:pStyle w:val="Normal"/>
        <w:spacing w:lineRule="auto" w:line="360"/>
        <w:rPr>
          <w:sz w:val="24"/>
        </w:rPr>
      </w:pPr>
      <w:r>
        <w:rPr>
          <w:sz w:val="24"/>
        </w:rPr>
      </w:r>
    </w:p>
    <w:p>
      <w:pPr>
        <w:pStyle w:val="Normal"/>
        <w:spacing w:lineRule="auto" w:line="360"/>
        <w:rPr>
          <w:sz w:val="24"/>
        </w:rPr>
      </w:pPr>
      <w:r>
        <w:rPr>
          <w:sz w:val="24"/>
        </w:rPr>
        <w:t>ORA recommends, therefore, that the Commission issue a directive, in the PY2001 LIEE planning process by the Assigned Commissioner Office and Assigned ALJ, that LIEE activities be modified as followed:</w:t>
      </w:r>
    </w:p>
    <w:p>
      <w:pPr>
        <w:pStyle w:val="Normal"/>
        <w:rPr>
          <w:sz w:val="24"/>
        </w:rPr>
      </w:pPr>
      <w:r>
        <w:rPr>
          <w:sz w:val="24"/>
        </w:rPr>
      </w:r>
    </w:p>
    <w:p>
      <w:pPr>
        <w:pStyle w:val="Normal"/>
        <w:numPr>
          <w:ilvl w:val="0"/>
          <w:numId w:val="7"/>
        </w:numPr>
        <w:tabs>
          <w:tab w:val="clear" w:pos="720"/>
          <w:tab w:val="left" w:pos="-1800" w:leader="none"/>
        </w:tabs>
        <w:rPr>
          <w:sz w:val="24"/>
        </w:rPr>
      </w:pPr>
      <w:r>
        <w:rPr>
          <w:sz w:val="24"/>
        </w:rPr>
        <w:t>Expand current efforts to increase awareness of, and participation in, the various forms of low income assistance, by expanding the Joint Energy Efficiency Website to include customized information for low-income eligible customers of PG&amp;E, SCE, SoCalGas, and SDG&amp;E, including on-line eligibility determination procedures, customer-specific information regarding low or no cost practices that can be undertaken to reduce electric and gas bills, and information regarding steps to take to take advantage of financial assistance from the LIEE programs.</w:t>
      </w:r>
    </w:p>
    <w:p>
      <w:pPr>
        <w:pStyle w:val="Normal"/>
        <w:rPr>
          <w:sz w:val="24"/>
        </w:rPr>
      </w:pPr>
      <w:r>
        <w:rPr>
          <w:sz w:val="24"/>
        </w:rPr>
      </w:r>
    </w:p>
    <w:p>
      <w:pPr>
        <w:pStyle w:val="Normal"/>
        <w:numPr>
          <w:ilvl w:val="0"/>
          <w:numId w:val="7"/>
        </w:numPr>
        <w:tabs>
          <w:tab w:val="clear" w:pos="720"/>
          <w:tab w:val="left" w:pos="-1800" w:leader="none"/>
        </w:tabs>
        <w:rPr>
          <w:sz w:val="24"/>
        </w:rPr>
      </w:pPr>
      <w:r>
        <w:rPr>
          <w:sz w:val="24"/>
        </w:rPr>
        <w:t xml:space="preserve">Expand the scope and activities of the low-income committee of CALMAC to collect and assess data regarding the technical and market potential for distributed generation technologies in multi-family buildings that are predominantly occupied by low-income eligible customers and currently provide space conditioning (heating and cooling) through building owner equipment; this analysis should include and account for participation data resulting from the multi-family segment of the RCP program in the EEPPP activities of PY2001. </w:t>
      </w:r>
    </w:p>
    <w:p>
      <w:pPr>
        <w:pStyle w:val="Normal"/>
        <w:rPr>
          <w:sz w:val="24"/>
        </w:rPr>
      </w:pPr>
      <w:r>
        <w:rPr>
          <w:sz w:val="24"/>
        </w:rPr>
      </w:r>
    </w:p>
    <w:p>
      <w:pPr>
        <w:pStyle w:val="Normal"/>
        <w:rPr>
          <w:sz w:val="24"/>
        </w:rPr>
      </w:pPr>
      <w:r>
        <w:rPr>
          <w:sz w:val="24"/>
        </w:rPr>
      </w:r>
    </w:p>
    <w:p>
      <w:pPr>
        <w:pStyle w:val="BodyText2"/>
        <w:spacing w:lineRule="auto" w:line="360"/>
        <w:rPr/>
      </w:pPr>
      <w:r>
        <w:rPr/>
        <w:t xml:space="preserve">ORA’s first recommendation should be treated and implemented as one means of accelerating weatherization activities in residential buildings called for in the ESRA in PY2001.  ORA’s second recommendation will not lead to measurable reductions in electricity or natural gas usage or bills of low-income customers in 2001, but will enable the Commission to consider the inclusion of distributed generation products and services in PY2002 budgets, plans, and forecasted costs and benefits.  </w:t>
      </w:r>
    </w:p>
    <w:p>
      <w:pPr>
        <w:pStyle w:val="BodyText3"/>
        <w:rPr/>
      </w:pPr>
      <w:r>
        <w:rPr/>
        <w:t>V.  THE CPUC/CEC “MEET AND CONFER” DIRECTIVES OF THE ESRA: MEANING AND EFFECTS ON PY2001 PLANS AND ACTIVITIES</w:t>
      </w:r>
    </w:p>
    <w:p>
      <w:pPr>
        <w:pStyle w:val="BodyText3"/>
        <w:rPr/>
      </w:pPr>
      <w:r>
        <w:rPr/>
      </w:r>
    </w:p>
    <w:p>
      <w:pPr>
        <w:pStyle w:val="BodyText3"/>
        <w:spacing w:lineRule="auto" w:line="360"/>
        <w:rPr>
          <w:b w:val="false"/>
        </w:rPr>
      </w:pPr>
      <w:r>
        <w:rPr>
          <w:b w:val="false"/>
        </w:rPr>
        <w:t>The ESRA contains several references to the need for the Commission and the CEC to “coordinate” demand-side related activities occurring at both commissions.   The ESRA also provides (from general revenues) $50 million to the CEC to expand their current demand-side related programs and activities, and a long list of technology-specific measures to promote.  Many of the technology-specific measures are similar, if not identical, to the ESRA directives to the Commission.</w:t>
      </w:r>
    </w:p>
    <w:p>
      <w:pPr>
        <w:pStyle w:val="BodyText3"/>
        <w:spacing w:lineRule="auto" w:line="360"/>
        <w:rPr>
          <w:b w:val="false"/>
        </w:rPr>
      </w:pPr>
      <w:r>
        <w:rPr>
          <w:b w:val="false"/>
        </w:rPr>
      </w:r>
    </w:p>
    <w:p>
      <w:pPr>
        <w:pStyle w:val="BodyText3"/>
        <w:spacing w:lineRule="auto" w:line="360"/>
        <w:rPr>
          <w:b w:val="false"/>
        </w:rPr>
      </w:pPr>
      <w:r>
        <w:rPr>
          <w:b w:val="false"/>
        </w:rPr>
        <w:t>In theory, the combined effect of an expanded role for the CEC in demand-side activities and the re-directed effort of demand-side activities under CPUC jurisdiction should contribute to incrementally greater reductions in the demand for energy by and after 2001 than would occurred in the absence of the ESRA.  Given recent and current activities at the CEC, however, the “dual agency” push of the ESRA could become the source of delay in the planning and authorization process for PY2001 at the Commission, confusion and lack of action by some consumers and potential implementers, and inconsistent and double counting effects on energy reductions and relative cost-effectiveness between the commissions.</w:t>
      </w:r>
    </w:p>
    <w:p>
      <w:pPr>
        <w:pStyle w:val="BodyText3"/>
        <w:rPr>
          <w:b w:val="false"/>
        </w:rPr>
      </w:pPr>
      <w:r>
        <w:rPr>
          <w:b w:val="false"/>
        </w:rPr>
      </w:r>
    </w:p>
    <w:p>
      <w:pPr>
        <w:pStyle w:val="BodyText3"/>
        <w:spacing w:lineRule="auto" w:line="360"/>
        <w:rPr>
          <w:b w:val="false"/>
        </w:rPr>
      </w:pPr>
      <w:r>
        <w:rPr>
          <w:b w:val="false"/>
        </w:rPr>
        <w:t>Some of the ORA-recommended directives from the Commission to PG&amp;E, SCE, SoCalGas, and SDG&amp;E will, by intent, minimize the potential for adverse effects raised by the ESRA.  The two most important ORA-recommended directives to the UDCs necessary to minimize the disruptive effects of excessive overlap in ESRA directives to the Commission and the CEC are as follows:</w:t>
      </w:r>
    </w:p>
    <w:p>
      <w:pPr>
        <w:pStyle w:val="Normal"/>
        <w:numPr>
          <w:ilvl w:val="0"/>
          <w:numId w:val="15"/>
        </w:numPr>
        <w:tabs>
          <w:tab w:val="clear" w:pos="720"/>
          <w:tab w:val="left" w:pos="-1800" w:leader="none"/>
        </w:tabs>
        <w:rPr>
          <w:sz w:val="24"/>
        </w:rPr>
      </w:pPr>
      <w:r>
        <w:rPr>
          <w:sz w:val="24"/>
        </w:rPr>
        <w:t>Eliminate financial assistance in the Non-residential New Construction program category for Industrial and Agricultural sectors.</w:t>
      </w:r>
    </w:p>
    <w:p>
      <w:pPr>
        <w:pStyle w:val="Normal"/>
        <w:rPr>
          <w:sz w:val="24"/>
        </w:rPr>
      </w:pPr>
      <w:r>
        <w:rPr>
          <w:sz w:val="24"/>
        </w:rPr>
      </w:r>
    </w:p>
    <w:p>
      <w:pPr>
        <w:pStyle w:val="Normal"/>
        <w:numPr>
          <w:ilvl w:val="0"/>
          <w:numId w:val="15"/>
        </w:numPr>
        <w:tabs>
          <w:tab w:val="clear" w:pos="720"/>
          <w:tab w:val="left" w:pos="-1800" w:leader="none"/>
        </w:tabs>
        <w:rPr>
          <w:sz w:val="24"/>
        </w:rPr>
      </w:pPr>
      <w:r>
        <w:rPr>
          <w:sz w:val="24"/>
        </w:rPr>
        <w:t>Eliminate participation eligibility for financial assistance for public agency customers.</w:t>
      </w:r>
    </w:p>
    <w:p>
      <w:pPr>
        <w:pStyle w:val="BodyText3"/>
        <w:rPr>
          <w:b w:val="false"/>
          <w:sz w:val="24"/>
        </w:rPr>
      </w:pPr>
      <w:r>
        <w:rPr>
          <w:b w:val="false"/>
          <w:sz w:val="24"/>
        </w:rPr>
      </w:r>
    </w:p>
    <w:p>
      <w:pPr>
        <w:pStyle w:val="BodyText3"/>
        <w:rPr>
          <w:b w:val="false"/>
        </w:rPr>
      </w:pPr>
      <w:r>
        <w:rPr>
          <w:b w:val="false"/>
        </w:rPr>
      </w:r>
    </w:p>
    <w:p>
      <w:pPr>
        <w:pStyle w:val="BodyText3"/>
        <w:spacing w:lineRule="auto" w:line="360"/>
        <w:rPr>
          <w:b w:val="false"/>
        </w:rPr>
      </w:pPr>
      <w:r>
        <w:rPr>
          <w:b w:val="false"/>
        </w:rPr>
        <w:t>These two ORA-recommended directives to the UDCs address the most significant elements of customer-market overlap, with expected aggravation of the problem with the additional $50 million funds available to the CEC in 2000-2001 by the ESRA.  The CEC has had existing programs in these customer market segments, and can be expected to expand this level and scope of assistance.  Commission (CPUC) direction to the UDCs to focus on customer market segments other than these CEC-dominated segments, will provide added focus to the UDC efforts, minimize customer confusion regarding multiple options, and minimize the likelihood of disparities and double-counting affects from “competing” types and sources of assistance in identical customer market segments.</w:t>
      </w:r>
    </w:p>
    <w:p>
      <w:pPr>
        <w:pStyle w:val="BodyText3"/>
        <w:spacing w:lineRule="auto" w:line="360"/>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BodyText3"/>
        <w:rPr>
          <w:b w:val="false"/>
        </w:rPr>
      </w:pPr>
      <w:r>
        <w:rPr>
          <w:b w:val="false"/>
        </w:rPr>
      </w:r>
    </w:p>
    <w:p>
      <w:pPr>
        <w:pStyle w:val="Heading"/>
        <w:numPr>
          <w:ilvl w:val="0"/>
          <w:numId w:val="0"/>
        </w:numPr>
        <w:jc w:val="start"/>
        <w:outlineLvl w:val="0"/>
        <w:rPr>
          <w:u w:val="none"/>
        </w:rPr>
      </w:pPr>
      <w:r>
        <w:rPr>
          <w:u w:val="none"/>
        </w:rPr>
        <w:t xml:space="preserve">Attachment 1: Documents on the Products and Services Associated with </w:t>
      </w:r>
    </w:p>
    <w:p>
      <w:pPr>
        <w:pStyle w:val="Heading"/>
        <w:numPr>
          <w:ilvl w:val="0"/>
          <w:numId w:val="0"/>
        </w:numPr>
        <w:jc w:val="start"/>
        <w:outlineLvl w:val="0"/>
        <w:rPr>
          <w:u w:val="none"/>
        </w:rPr>
      </w:pPr>
      <w:r>
        <w:rPr>
          <w:u w:val="none"/>
        </w:rPr>
        <w:t xml:space="preserve">Current Distributed Generation Technologies (Fuel Cells, Microturbines, and Photovoltaics) </w:t>
      </w:r>
    </w:p>
    <w:p>
      <w:pPr>
        <w:pStyle w:val="Normal"/>
        <w:rPr>
          <w:b/>
          <w:sz w:val="24"/>
          <w:u w:val="none"/>
        </w:rPr>
      </w:pPr>
      <w:r>
        <w:rPr>
          <w:b/>
          <w:sz w:val="24"/>
          <w:u w:val="none"/>
        </w:rPr>
      </w:r>
    </w:p>
    <w:p>
      <w:pPr>
        <w:pStyle w:val="Subtitle"/>
        <w:numPr>
          <w:ilvl w:val="0"/>
          <w:numId w:val="0"/>
        </w:numPr>
        <w:outlineLvl w:val="0"/>
        <w:rPr>
          <w:b w:val="false"/>
        </w:rPr>
      </w:pPr>
      <w:r>
        <w:rPr/>
        <w:t>A.  Reports by or to Public Agencies</w:t>
      </w:r>
    </w:p>
    <w:p>
      <w:pPr>
        <w:pStyle w:val="Normal"/>
        <w:rPr>
          <w:b/>
        </w:rPr>
      </w:pPr>
      <w:r>
        <w:rPr>
          <w:b/>
        </w:rPr>
      </w:r>
    </w:p>
    <w:p>
      <w:pPr>
        <w:pStyle w:val="Normal"/>
        <w:rPr>
          <w:sz w:val="24"/>
        </w:rPr>
      </w:pPr>
      <w:r>
        <w:rPr>
          <w:sz w:val="24"/>
        </w:rPr>
      </w:r>
    </w:p>
    <w:p>
      <w:pPr>
        <w:pStyle w:val="Normal"/>
        <w:numPr>
          <w:ilvl w:val="0"/>
          <w:numId w:val="10"/>
        </w:numPr>
        <w:rPr>
          <w:sz w:val="24"/>
        </w:rPr>
      </w:pPr>
      <w:r>
        <w:rPr>
          <w:sz w:val="24"/>
        </w:rPr>
        <w:t xml:space="preserve">Alderfer, R. Brent, Elderidge, M. Monika, Starrs, Thomas J.  </w:t>
      </w:r>
      <w:r>
        <w:rPr>
          <w:i/>
          <w:sz w:val="24"/>
        </w:rPr>
        <w:t>Making Connections: Case Studies of Interconnection Barriers and Their Impacts on Distributed Power Projects</w:t>
      </w:r>
      <w:r>
        <w:rPr>
          <w:sz w:val="24"/>
        </w:rPr>
        <w:t>,  May 2000.  United States Department of Energy, Distributed Power Program, Office of Energy Efficiency and Renewable Energy, Office of Power Technology.  NREL/SR-200-28053.</w:t>
      </w:r>
    </w:p>
    <w:p>
      <w:pPr>
        <w:pStyle w:val="Normal"/>
        <w:rPr>
          <w:sz w:val="24"/>
        </w:rPr>
      </w:pPr>
      <w:r>
        <w:rPr>
          <w:sz w:val="24"/>
        </w:rPr>
      </w:r>
    </w:p>
    <w:p>
      <w:pPr>
        <w:pStyle w:val="Normal"/>
        <w:numPr>
          <w:ilvl w:val="0"/>
          <w:numId w:val="10"/>
        </w:numPr>
        <w:rPr>
          <w:sz w:val="24"/>
        </w:rPr>
      </w:pPr>
      <w:r>
        <w:rPr>
          <w:sz w:val="24"/>
        </w:rPr>
        <w:t xml:space="preserve">California Air Resources Board and California Environmental Protection Agency.  </w:t>
      </w:r>
      <w:r>
        <w:rPr>
          <w:i/>
          <w:sz w:val="24"/>
        </w:rPr>
        <w:t>Air Pollution Emission Impacts Associated with Economic Market Potential of Distributed Generation in California</w:t>
      </w:r>
      <w:r>
        <w:rPr>
          <w:sz w:val="24"/>
        </w:rPr>
        <w:t>, June 2000.  Prepared by: Distributed Utility Associates, Livermore, CA.</w:t>
      </w:r>
    </w:p>
    <w:p>
      <w:pPr>
        <w:pStyle w:val="Normal"/>
        <w:rPr>
          <w:sz w:val="24"/>
        </w:rPr>
      </w:pPr>
      <w:r>
        <w:rPr>
          <w:sz w:val="24"/>
        </w:rPr>
      </w:r>
    </w:p>
    <w:p>
      <w:pPr>
        <w:pStyle w:val="Normal"/>
        <w:numPr>
          <w:ilvl w:val="0"/>
          <w:numId w:val="10"/>
        </w:numPr>
        <w:rPr>
          <w:w w:val="150"/>
          <w:sz w:val="24"/>
        </w:rPr>
      </w:pPr>
      <w:r>
        <w:rPr>
          <w:sz w:val="24"/>
        </w:rPr>
        <w:t xml:space="preserve">United States Department of Energy, Energy Information Administration.  </w:t>
      </w:r>
      <w:r>
        <w:rPr>
          <w:i/>
          <w:sz w:val="24"/>
        </w:rPr>
        <w:t>The Market and Technical Potential for Combined Heat and Power in the Commercial/Institutional Sector</w:t>
      </w:r>
      <w:r>
        <w:rPr>
          <w:sz w:val="24"/>
        </w:rPr>
        <w:t>, January 2000. Prepared by: Onsite Sycom Energy Corporation, Washington, D.C.</w:t>
      </w:r>
    </w:p>
    <w:p>
      <w:pPr>
        <w:pStyle w:val="Normal"/>
        <w:rPr>
          <w:w w:val="150"/>
          <w:sz w:val="24"/>
        </w:rPr>
      </w:pPr>
      <w:r>
        <w:rPr>
          <w:w w:val="150"/>
          <w:sz w:val="24"/>
        </w:rPr>
      </w:r>
    </w:p>
    <w:p>
      <w:pPr>
        <w:pStyle w:val="Normal"/>
        <w:numPr>
          <w:ilvl w:val="0"/>
          <w:numId w:val="10"/>
        </w:numPr>
        <w:rPr>
          <w:w w:val="150"/>
          <w:sz w:val="24"/>
        </w:rPr>
      </w:pPr>
      <w:r>
        <w:rPr>
          <w:sz w:val="24"/>
        </w:rPr>
        <w:t xml:space="preserve"> </w:t>
      </w:r>
      <w:r>
        <w:rPr>
          <w:sz w:val="24"/>
        </w:rPr>
        <w:t xml:space="preserve">Osborn, Donald E., </w:t>
      </w:r>
      <w:r>
        <w:rPr>
          <w:i/>
          <w:sz w:val="24"/>
        </w:rPr>
        <w:t xml:space="preserve">Sustained Orderly Development and Commercialization of Grid-Connected Photovoltaics:  SMUD as a Case Example, </w:t>
      </w:r>
      <w:r>
        <w:rPr>
          <w:sz w:val="24"/>
        </w:rPr>
        <w:t>May 2000.  Sacramento Municipal Utility District, Sacramento, CA.</w:t>
      </w:r>
    </w:p>
    <w:p>
      <w:pPr>
        <w:pStyle w:val="Normal"/>
        <w:rPr>
          <w:w w:val="150"/>
          <w:sz w:val="24"/>
        </w:rPr>
      </w:pPr>
      <w:r>
        <w:rPr>
          <w:w w:val="150"/>
          <w:sz w:val="24"/>
        </w:rPr>
      </w:r>
    </w:p>
    <w:p>
      <w:pPr>
        <w:pStyle w:val="Footer"/>
        <w:tabs>
          <w:tab w:val="clear" w:pos="4320"/>
          <w:tab w:val="clear" w:pos="8640"/>
        </w:tabs>
        <w:rPr>
          <w:w w:val="150"/>
          <w:sz w:val="24"/>
        </w:rPr>
      </w:pPr>
      <w:r>
        <w:rPr>
          <w:w w:val="150"/>
          <w:sz w:val="24"/>
        </w:rPr>
      </w:r>
    </w:p>
    <w:p>
      <w:pPr>
        <w:pStyle w:val="Footer"/>
        <w:numPr>
          <w:ilvl w:val="0"/>
          <w:numId w:val="0"/>
        </w:numPr>
        <w:tabs>
          <w:tab w:val="clear" w:pos="4320"/>
          <w:tab w:val="clear" w:pos="8640"/>
        </w:tabs>
        <w:outlineLvl w:val="0"/>
        <w:rPr>
          <w:b/>
          <w:sz w:val="24"/>
        </w:rPr>
      </w:pPr>
      <w:r>
        <w:rPr>
          <w:b/>
          <w:sz w:val="24"/>
        </w:rPr>
        <w:t>B.  Reports by and to the Financial Industry</w:t>
      </w:r>
    </w:p>
    <w:p>
      <w:pPr>
        <w:pStyle w:val="Footer"/>
        <w:tabs>
          <w:tab w:val="clear" w:pos="4320"/>
          <w:tab w:val="clear" w:pos="8640"/>
        </w:tabs>
        <w:rPr>
          <w:b/>
          <w:sz w:val="24"/>
        </w:rPr>
      </w:pPr>
      <w:r>
        <w:rPr>
          <w:b/>
          <w:sz w:val="24"/>
        </w:rPr>
      </w:r>
    </w:p>
    <w:p>
      <w:pPr>
        <w:pStyle w:val="Footer"/>
        <w:numPr>
          <w:ilvl w:val="0"/>
          <w:numId w:val="12"/>
        </w:numPr>
        <w:tabs>
          <w:tab w:val="clear" w:pos="4320"/>
          <w:tab w:val="clear" w:pos="8640"/>
        </w:tabs>
        <w:rPr>
          <w:sz w:val="24"/>
        </w:rPr>
      </w:pPr>
      <w:r>
        <w:rPr>
          <w:sz w:val="24"/>
        </w:rPr>
        <w:t xml:space="preserve">Anderson, Hugh, M., Leavitt, Russell L., LoGerfo, James P., Tulis, Daniel L., “The Power of Growth” </w:t>
      </w:r>
      <w:r>
        <w:rPr>
          <w:i/>
          <w:sz w:val="24"/>
        </w:rPr>
        <w:t>Energy Technology Industry Overview</w:t>
      </w:r>
      <w:r>
        <w:rPr>
          <w:sz w:val="24"/>
        </w:rPr>
        <w:t>, June 2000.  Bank of America, Banc of America Securities, Equity Research.</w:t>
      </w:r>
    </w:p>
    <w:p>
      <w:pPr>
        <w:pStyle w:val="Footer"/>
        <w:tabs>
          <w:tab w:val="clear" w:pos="4320"/>
          <w:tab w:val="clear" w:pos="8640"/>
        </w:tabs>
        <w:rPr>
          <w:sz w:val="24"/>
        </w:rPr>
      </w:pPr>
      <w:r>
        <w:rPr>
          <w:sz w:val="24"/>
        </w:rPr>
      </w:r>
    </w:p>
    <w:p>
      <w:pPr>
        <w:pStyle w:val="Footer"/>
        <w:numPr>
          <w:ilvl w:val="0"/>
          <w:numId w:val="12"/>
        </w:numPr>
        <w:tabs>
          <w:tab w:val="clear" w:pos="4320"/>
          <w:tab w:val="clear" w:pos="8640"/>
        </w:tabs>
        <w:rPr>
          <w:sz w:val="24"/>
        </w:rPr>
      </w:pPr>
      <w:r>
        <w:rPr>
          <w:sz w:val="24"/>
        </w:rPr>
        <w:t>Bary, Andrew, “Power Play: Fuel cells, other investments lift some utility stock” Barron’s, January 31, 2000.</w:t>
      </w:r>
    </w:p>
    <w:p>
      <w:pPr>
        <w:pStyle w:val="Footer"/>
        <w:tabs>
          <w:tab w:val="clear" w:pos="4320"/>
          <w:tab w:val="clear" w:pos="8640"/>
        </w:tabs>
        <w:rPr>
          <w:sz w:val="24"/>
        </w:rPr>
      </w:pPr>
      <w:r>
        <w:rPr>
          <w:sz w:val="24"/>
        </w:rPr>
      </w:r>
    </w:p>
    <w:p>
      <w:pPr>
        <w:pStyle w:val="Footer"/>
        <w:numPr>
          <w:ilvl w:val="0"/>
          <w:numId w:val="12"/>
        </w:numPr>
        <w:tabs>
          <w:tab w:val="clear" w:pos="4320"/>
          <w:tab w:val="clear" w:pos="8640"/>
        </w:tabs>
        <w:rPr>
          <w:sz w:val="24"/>
        </w:rPr>
      </w:pPr>
      <w:r>
        <w:rPr>
          <w:sz w:val="24"/>
        </w:rPr>
        <w:t xml:space="preserve">Huber, Peter, and Mills, Mark, “The PowerChip Paradigm” </w:t>
      </w:r>
      <w:r>
        <w:rPr>
          <w:i/>
          <w:sz w:val="24"/>
        </w:rPr>
        <w:t>The Huber Mills Report</w:t>
      </w:r>
      <w:r>
        <w:rPr>
          <w:sz w:val="24"/>
        </w:rPr>
        <w:t>.  Published by GilderGroup.</w:t>
      </w:r>
    </w:p>
    <w:p>
      <w:pPr>
        <w:pStyle w:val="Footer"/>
        <w:tabs>
          <w:tab w:val="clear" w:pos="4320"/>
          <w:tab w:val="clear" w:pos="8640"/>
        </w:tabs>
        <w:rPr>
          <w:sz w:val="24"/>
        </w:rPr>
      </w:pPr>
      <w:r>
        <w:rPr>
          <w:sz w:val="24"/>
        </w:rPr>
      </w:r>
    </w:p>
    <w:p>
      <w:pPr>
        <w:pStyle w:val="Footer"/>
        <w:numPr>
          <w:ilvl w:val="0"/>
          <w:numId w:val="12"/>
        </w:numPr>
        <w:tabs>
          <w:tab w:val="clear" w:pos="4320"/>
          <w:tab w:val="clear" w:pos="8640"/>
        </w:tabs>
        <w:rPr>
          <w:sz w:val="24"/>
        </w:rPr>
      </w:pPr>
      <w:r>
        <w:rPr>
          <w:sz w:val="24"/>
        </w:rPr>
        <w:t xml:space="preserve">Kinkead, Gwen, “Gimme Fuel Cells, Hold the Grid” </w:t>
      </w:r>
      <w:r>
        <w:rPr>
          <w:i/>
          <w:sz w:val="24"/>
        </w:rPr>
        <w:t>Worth</w:t>
      </w:r>
      <w:r>
        <w:rPr>
          <w:sz w:val="24"/>
        </w:rPr>
        <w:t>, September 24, 2000.</w:t>
      </w:r>
    </w:p>
    <w:p>
      <w:pPr>
        <w:pStyle w:val="Footer"/>
        <w:tabs>
          <w:tab w:val="clear" w:pos="4320"/>
          <w:tab w:val="clear" w:pos="8640"/>
        </w:tabs>
        <w:rPr>
          <w:sz w:val="24"/>
        </w:rPr>
      </w:pPr>
      <w:r>
        <w:rPr>
          <w:sz w:val="24"/>
        </w:rPr>
      </w:r>
    </w:p>
    <w:p>
      <w:pPr>
        <w:pStyle w:val="Footer"/>
        <w:numPr>
          <w:ilvl w:val="0"/>
          <w:numId w:val="0"/>
        </w:numPr>
        <w:tabs>
          <w:tab w:val="clear" w:pos="4320"/>
          <w:tab w:val="clear" w:pos="8640"/>
        </w:tabs>
        <w:outlineLvl w:val="0"/>
        <w:rPr>
          <w:sz w:val="24"/>
        </w:rPr>
      </w:pPr>
      <w:r>
        <w:rPr>
          <w:sz w:val="24"/>
        </w:rPr>
      </w:r>
    </w:p>
    <w:p>
      <w:pPr>
        <w:pStyle w:val="Footer"/>
        <w:numPr>
          <w:ilvl w:val="0"/>
          <w:numId w:val="0"/>
        </w:numPr>
        <w:tabs>
          <w:tab w:val="clear" w:pos="4320"/>
          <w:tab w:val="clear" w:pos="8640"/>
        </w:tabs>
        <w:outlineLvl w:val="0"/>
        <w:rPr>
          <w:sz w:val="24"/>
        </w:rPr>
      </w:pPr>
      <w:r>
        <w:rPr>
          <w:sz w:val="24"/>
        </w:rPr>
      </w:r>
    </w:p>
    <w:p>
      <w:pPr>
        <w:pStyle w:val="Footer"/>
        <w:numPr>
          <w:ilvl w:val="0"/>
          <w:numId w:val="0"/>
        </w:numPr>
        <w:tabs>
          <w:tab w:val="clear" w:pos="4320"/>
          <w:tab w:val="clear" w:pos="8640"/>
        </w:tabs>
        <w:outlineLvl w:val="0"/>
        <w:rPr>
          <w:sz w:val="24"/>
        </w:rPr>
      </w:pPr>
      <w:r>
        <w:rPr>
          <w:sz w:val="24"/>
        </w:rPr>
      </w:r>
    </w:p>
    <w:p>
      <w:pPr>
        <w:pStyle w:val="Footer"/>
        <w:numPr>
          <w:ilvl w:val="0"/>
          <w:numId w:val="0"/>
        </w:numPr>
        <w:tabs>
          <w:tab w:val="clear" w:pos="4320"/>
          <w:tab w:val="clear" w:pos="8640"/>
        </w:tabs>
        <w:outlineLvl w:val="0"/>
        <w:rPr>
          <w:sz w:val="24"/>
        </w:rPr>
      </w:pPr>
      <w:r>
        <w:rPr>
          <w:sz w:val="24"/>
        </w:rPr>
      </w:r>
    </w:p>
    <w:p>
      <w:pPr>
        <w:pStyle w:val="Footer"/>
        <w:numPr>
          <w:ilvl w:val="0"/>
          <w:numId w:val="0"/>
        </w:numPr>
        <w:tabs>
          <w:tab w:val="clear" w:pos="4320"/>
          <w:tab w:val="clear" w:pos="8640"/>
        </w:tabs>
        <w:outlineLvl w:val="0"/>
        <w:rPr>
          <w:sz w:val="24"/>
        </w:rPr>
      </w:pPr>
      <w:r>
        <w:rPr>
          <w:sz w:val="24"/>
        </w:rPr>
      </w:r>
    </w:p>
    <w:p>
      <w:pPr>
        <w:pStyle w:val="Footer"/>
        <w:numPr>
          <w:ilvl w:val="0"/>
          <w:numId w:val="0"/>
        </w:numPr>
        <w:tabs>
          <w:tab w:val="clear" w:pos="4320"/>
          <w:tab w:val="clear" w:pos="8640"/>
        </w:tabs>
        <w:outlineLvl w:val="0"/>
        <w:rPr>
          <w:b/>
          <w:sz w:val="24"/>
        </w:rPr>
      </w:pPr>
      <w:r>
        <w:rPr>
          <w:b/>
          <w:sz w:val="24"/>
        </w:rPr>
        <w:t>C.  Media Accounts, Online and Printed</w:t>
      </w:r>
    </w:p>
    <w:p>
      <w:pPr>
        <w:pStyle w:val="Footer"/>
        <w:tabs>
          <w:tab w:val="clear" w:pos="4320"/>
          <w:tab w:val="clear" w:pos="8640"/>
        </w:tabs>
        <w:rPr>
          <w:b/>
          <w:sz w:val="24"/>
        </w:rPr>
      </w:pPr>
      <w:r>
        <w:rPr>
          <w:b/>
          <w:sz w:val="24"/>
        </w:rPr>
      </w:r>
    </w:p>
    <w:p>
      <w:pPr>
        <w:pStyle w:val="BodyText"/>
        <w:numPr>
          <w:ilvl w:val="0"/>
          <w:numId w:val="2"/>
        </w:numPr>
        <w:rPr>
          <w:b w:val="false"/>
          <w:sz w:val="24"/>
        </w:rPr>
      </w:pPr>
      <w:r>
        <w:rPr>
          <w:b w:val="false"/>
          <w:sz w:val="24"/>
        </w:rPr>
        <w:t xml:space="preserve">Cheddar, Christina, “Fuel Cell, New Power Stocks Up as Sector Momentum Continues” </w:t>
      </w:r>
      <w:r>
        <w:rPr>
          <w:b w:val="false"/>
          <w:i/>
          <w:sz w:val="24"/>
        </w:rPr>
        <w:t>Dow Jones Newswires</w:t>
      </w:r>
      <w:r>
        <w:rPr>
          <w:b w:val="false"/>
          <w:sz w:val="24"/>
        </w:rPr>
        <w:t>, September 12, 2000.</w:t>
      </w:r>
    </w:p>
    <w:p>
      <w:pPr>
        <w:pStyle w:val="BodyText"/>
        <w:rPr>
          <w:b w:val="false"/>
          <w:sz w:val="24"/>
        </w:rPr>
      </w:pPr>
      <w:r>
        <w:rPr>
          <w:b w:val="false"/>
          <w:sz w:val="24"/>
        </w:rPr>
      </w:r>
    </w:p>
    <w:p>
      <w:pPr>
        <w:pStyle w:val="BodyText"/>
        <w:numPr>
          <w:ilvl w:val="0"/>
          <w:numId w:val="2"/>
        </w:numPr>
        <w:rPr>
          <w:b w:val="false"/>
          <w:sz w:val="24"/>
        </w:rPr>
      </w:pPr>
      <w:r>
        <w:rPr>
          <w:b w:val="false"/>
          <w:sz w:val="24"/>
        </w:rPr>
        <w:t xml:space="preserve">Cheddar, Christina, “Jefferies-Fuel Cell-3:Fuel Cell Units by ‘04- Analyst” </w:t>
      </w:r>
      <w:r>
        <w:rPr>
          <w:b w:val="false"/>
          <w:i/>
          <w:sz w:val="24"/>
        </w:rPr>
        <w:t>Dow Jones Newswires</w:t>
      </w:r>
      <w:r>
        <w:rPr>
          <w:b w:val="false"/>
          <w:sz w:val="24"/>
        </w:rPr>
        <w:t>, September 12, 2000.</w:t>
      </w:r>
    </w:p>
    <w:p>
      <w:pPr>
        <w:pStyle w:val="BodyText"/>
        <w:rPr>
          <w:b w:val="false"/>
          <w:sz w:val="24"/>
        </w:rPr>
      </w:pPr>
      <w:r>
        <w:rPr>
          <w:b w:val="false"/>
          <w:sz w:val="24"/>
        </w:rPr>
      </w:r>
    </w:p>
    <w:p>
      <w:pPr>
        <w:pStyle w:val="BodyText"/>
        <w:numPr>
          <w:ilvl w:val="0"/>
          <w:numId w:val="2"/>
        </w:numPr>
        <w:rPr>
          <w:b w:val="false"/>
          <w:sz w:val="24"/>
        </w:rPr>
      </w:pPr>
      <w:r>
        <w:rPr>
          <w:b w:val="false"/>
          <w:sz w:val="24"/>
        </w:rPr>
        <w:t>“</w:t>
      </w:r>
      <w:r>
        <w:rPr>
          <w:b w:val="false"/>
          <w:sz w:val="24"/>
        </w:rPr>
        <w:t xml:space="preserve">The Dawn of Micropower” Miniature Power Stations, Science and Technology.  </w:t>
      </w:r>
      <w:r>
        <w:rPr>
          <w:b w:val="false"/>
          <w:i/>
          <w:sz w:val="24"/>
        </w:rPr>
        <w:t>The Economist</w:t>
      </w:r>
      <w:r>
        <w:rPr>
          <w:b w:val="false"/>
          <w:sz w:val="24"/>
        </w:rPr>
        <w:t xml:space="preserve"> (online), August 8, 2000. http//www.economist.com/editorial/freeforall/current/st1632.html</w:t>
      </w:r>
    </w:p>
    <w:p>
      <w:pPr>
        <w:pStyle w:val="BodyText"/>
        <w:rPr>
          <w:b w:val="false"/>
          <w:sz w:val="24"/>
        </w:rPr>
      </w:pPr>
      <w:r>
        <w:rPr>
          <w:b w:val="false"/>
          <w:sz w:val="24"/>
        </w:rPr>
      </w:r>
    </w:p>
    <w:p>
      <w:pPr>
        <w:pStyle w:val="BodyText"/>
        <w:numPr>
          <w:ilvl w:val="0"/>
          <w:numId w:val="2"/>
        </w:numPr>
        <w:rPr>
          <w:b w:val="false"/>
          <w:sz w:val="24"/>
        </w:rPr>
      </w:pPr>
      <w:r>
        <w:rPr>
          <w:b w:val="false"/>
          <w:sz w:val="24"/>
        </w:rPr>
        <w:t xml:space="preserve">Dwortzan, Mark, “Photovoltaics: Something New Under the Sun” </w:t>
      </w:r>
      <w:r>
        <w:rPr>
          <w:b w:val="false"/>
          <w:i/>
          <w:sz w:val="24"/>
        </w:rPr>
        <w:t>Technology Review</w:t>
      </w:r>
      <w:r>
        <w:rPr>
          <w:b w:val="false"/>
          <w:sz w:val="24"/>
        </w:rPr>
        <w:t>, September/October Benchmarks.</w:t>
      </w:r>
    </w:p>
    <w:p>
      <w:pPr>
        <w:pStyle w:val="BodyText"/>
        <w:rPr>
          <w:b w:val="false"/>
          <w:sz w:val="24"/>
        </w:rPr>
      </w:pPr>
      <w:r>
        <w:rPr>
          <w:b w:val="false"/>
          <w:sz w:val="24"/>
        </w:rPr>
      </w:r>
    </w:p>
    <w:p>
      <w:pPr>
        <w:pStyle w:val="BodyText"/>
        <w:numPr>
          <w:ilvl w:val="0"/>
          <w:numId w:val="2"/>
        </w:numPr>
        <w:rPr>
          <w:b w:val="false"/>
          <w:sz w:val="24"/>
        </w:rPr>
      </w:pPr>
      <w:r>
        <w:rPr>
          <w:b w:val="false"/>
          <w:sz w:val="24"/>
        </w:rPr>
        <w:t>“</w:t>
      </w:r>
      <w:r>
        <w:rPr>
          <w:b w:val="false"/>
          <w:sz w:val="24"/>
        </w:rPr>
        <w:t xml:space="preserve">The Electric Revolution” </w:t>
      </w:r>
      <w:r>
        <w:rPr>
          <w:b w:val="false"/>
          <w:i/>
          <w:sz w:val="24"/>
        </w:rPr>
        <w:t>The Economist</w:t>
      </w:r>
      <w:r>
        <w:rPr>
          <w:b w:val="false"/>
          <w:sz w:val="24"/>
        </w:rPr>
        <w:t>, August 5, 2000.</w:t>
      </w:r>
    </w:p>
    <w:p>
      <w:pPr>
        <w:pStyle w:val="BodyText"/>
        <w:rPr>
          <w:b w:val="false"/>
          <w:sz w:val="24"/>
        </w:rPr>
      </w:pPr>
      <w:r>
        <w:rPr>
          <w:b w:val="false"/>
          <w:sz w:val="24"/>
        </w:rPr>
      </w:r>
    </w:p>
    <w:p>
      <w:pPr>
        <w:pStyle w:val="BodyText"/>
        <w:numPr>
          <w:ilvl w:val="0"/>
          <w:numId w:val="2"/>
        </w:numPr>
        <w:rPr>
          <w:b w:val="false"/>
          <w:sz w:val="24"/>
        </w:rPr>
      </w:pPr>
      <w:r>
        <w:rPr>
          <w:b w:val="false"/>
          <w:sz w:val="24"/>
        </w:rPr>
        <w:t xml:space="preserve">Lee, Consella A., “FuelCell, PPL Corp., Unit In N. Amer Distribution Pact” </w:t>
      </w:r>
      <w:r>
        <w:rPr>
          <w:b w:val="false"/>
          <w:i/>
          <w:sz w:val="24"/>
        </w:rPr>
        <w:t>Dow Jones Newswires</w:t>
      </w:r>
      <w:r>
        <w:rPr>
          <w:b w:val="false"/>
          <w:sz w:val="24"/>
        </w:rPr>
        <w:t>, September 12, 2000.</w:t>
      </w:r>
    </w:p>
    <w:p>
      <w:pPr>
        <w:pStyle w:val="BodyText"/>
        <w:rPr>
          <w:b w:val="false"/>
          <w:sz w:val="24"/>
        </w:rPr>
      </w:pPr>
      <w:r>
        <w:rPr>
          <w:b w:val="false"/>
          <w:sz w:val="24"/>
        </w:rPr>
      </w:r>
    </w:p>
    <w:p>
      <w:pPr>
        <w:pStyle w:val="BodyText"/>
        <w:numPr>
          <w:ilvl w:val="0"/>
          <w:numId w:val="2"/>
        </w:numPr>
        <w:rPr>
          <w:b w:val="false"/>
          <w:sz w:val="24"/>
        </w:rPr>
      </w:pPr>
      <w:r>
        <w:rPr>
          <w:b w:val="false"/>
          <w:sz w:val="24"/>
        </w:rPr>
        <w:t xml:space="preserve">Plotkin, Hal, “Stalled Fuel Cell IPOs Leave Upside” </w:t>
      </w:r>
      <w:r>
        <w:rPr>
          <w:b w:val="false"/>
          <w:i/>
          <w:sz w:val="24"/>
        </w:rPr>
        <w:t>CNBC online</w:t>
      </w:r>
      <w:r>
        <w:rPr>
          <w:b w:val="false"/>
          <w:sz w:val="24"/>
        </w:rPr>
        <w:t>, Aug 15 2000 5:00PM ET.</w:t>
      </w:r>
    </w:p>
    <w:p>
      <w:pPr>
        <w:pStyle w:val="BodyText"/>
        <w:rPr>
          <w:b w:val="false"/>
          <w:sz w:val="24"/>
        </w:rPr>
      </w:pPr>
      <w:r>
        <w:rPr>
          <w:b w:val="false"/>
          <w:sz w:val="24"/>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Attachment 2: Proceedings affected Demand-side and Distributive Generation Directives in ESRA, that Do Not Affect PY2001 Public Purpose Program Planning Activities.</w:t>
      </w:r>
    </w:p>
    <w:p>
      <w:pPr>
        <w:pStyle w:val="Normal"/>
        <w:rPr>
          <w:sz w:val="24"/>
        </w:rPr>
      </w:pPr>
      <w:r>
        <w:rPr>
          <w:sz w:val="24"/>
        </w:rPr>
        <w:t>The following proceedings or groups of proceedings will affect, and are affected by, various features of the ESRA:</w:t>
      </w:r>
    </w:p>
    <w:p>
      <w:pPr>
        <w:pStyle w:val="Normal"/>
        <w:rPr>
          <w:sz w:val="24"/>
        </w:rPr>
      </w:pPr>
      <w:r>
        <w:rPr>
          <w:sz w:val="24"/>
        </w:rPr>
      </w:r>
    </w:p>
    <w:p>
      <w:pPr>
        <w:pStyle w:val="Normal"/>
        <w:numPr>
          <w:ilvl w:val="0"/>
          <w:numId w:val="14"/>
        </w:numPr>
        <w:tabs>
          <w:tab w:val="clear" w:pos="720"/>
          <w:tab w:val="left" w:pos="-1800" w:leader="none"/>
        </w:tabs>
        <w:rPr>
          <w:sz w:val="24"/>
        </w:rPr>
      </w:pPr>
      <w:r>
        <w:rPr>
          <w:sz w:val="24"/>
        </w:rPr>
        <w:t>ISO/UDC policies, practices, and procedures for treating participants and non-participants in the Interruptible programs and at the ISO and the electric UDCs that may have the effect of discouraging distributed generation products and services;</w:t>
      </w:r>
      <w:r>
        <w:rPr>
          <w:rStyle w:val="FootnoteCharacters"/>
          <w:rStyle w:val="FootnoteReference"/>
          <w:sz w:val="24"/>
        </w:rPr>
        <w:footnoteReference w:id="16"/>
      </w:r>
      <w:r>
        <w:rPr>
          <w:sz w:val="24"/>
        </w:rPr>
        <w:t xml:space="preserve"> </w:t>
      </w:r>
    </w:p>
    <w:p>
      <w:pPr>
        <w:pStyle w:val="Normal"/>
        <w:rPr>
          <w:sz w:val="24"/>
        </w:rPr>
      </w:pPr>
      <w:r>
        <w:rPr>
          <w:sz w:val="24"/>
        </w:rPr>
        <w:t xml:space="preserve"> </w:t>
      </w:r>
    </w:p>
    <w:p>
      <w:pPr>
        <w:pStyle w:val="Normal"/>
        <w:numPr>
          <w:ilvl w:val="0"/>
          <w:numId w:val="14"/>
        </w:numPr>
        <w:tabs>
          <w:tab w:val="clear" w:pos="720"/>
          <w:tab w:val="left" w:pos="-1080" w:leader="none"/>
        </w:tabs>
        <w:rPr>
          <w:sz w:val="24"/>
        </w:rPr>
      </w:pPr>
      <w:r>
        <w:rPr>
          <w:sz w:val="24"/>
        </w:rPr>
        <w:t>ISO/UDC policies, practices, and procedures for demand-side responsiveness programs other than the interruptible program that may be having unintended effects on electricity prices, costs, and grid reliability;</w:t>
      </w:r>
      <w:r>
        <w:rPr>
          <w:rStyle w:val="FootnoteCharacters"/>
          <w:rStyle w:val="FootnoteReference"/>
          <w:sz w:val="24"/>
        </w:rPr>
        <w:footnoteReference w:id="17"/>
      </w:r>
    </w:p>
    <w:p>
      <w:pPr>
        <w:pStyle w:val="Normal"/>
        <w:rPr>
          <w:sz w:val="24"/>
        </w:rPr>
      </w:pPr>
      <w:r>
        <w:rPr>
          <w:sz w:val="24"/>
        </w:rPr>
      </w:r>
    </w:p>
    <w:p>
      <w:pPr>
        <w:pStyle w:val="Normal"/>
        <w:numPr>
          <w:ilvl w:val="0"/>
          <w:numId w:val="14"/>
        </w:numPr>
        <w:tabs>
          <w:tab w:val="clear" w:pos="720"/>
          <w:tab w:val="left" w:pos="-360" w:leader="none"/>
        </w:tabs>
        <w:rPr>
          <w:sz w:val="24"/>
        </w:rPr>
      </w:pPr>
      <w:r>
        <w:rPr>
          <w:sz w:val="24"/>
        </w:rPr>
        <w:t>standby rates and charges that may have the effect of  unreasonably discouraging distributed generation products and services;</w:t>
      </w:r>
      <w:r>
        <w:rPr>
          <w:rStyle w:val="FootnoteCharacters"/>
          <w:rStyle w:val="FootnoteReference"/>
          <w:sz w:val="24"/>
        </w:rPr>
        <w:footnoteReference w:id="18"/>
      </w:r>
      <w:r>
        <w:rPr>
          <w:sz w:val="24"/>
        </w:rPr>
        <w:t xml:space="preserve"> </w:t>
      </w:r>
    </w:p>
    <w:p>
      <w:pPr>
        <w:pStyle w:val="Normal"/>
        <w:rPr>
          <w:sz w:val="24"/>
        </w:rPr>
      </w:pPr>
      <w:r>
        <w:rPr>
          <w:sz w:val="24"/>
        </w:rPr>
      </w:r>
    </w:p>
    <w:p>
      <w:pPr>
        <w:pStyle w:val="Normal"/>
        <w:numPr>
          <w:ilvl w:val="0"/>
          <w:numId w:val="14"/>
        </w:numPr>
        <w:tabs>
          <w:tab w:val="clear" w:pos="720"/>
          <w:tab w:val="left" w:pos="-360" w:leader="none"/>
        </w:tabs>
        <w:rPr>
          <w:sz w:val="24"/>
        </w:rPr>
      </w:pPr>
      <w:r>
        <w:rPr>
          <w:sz w:val="24"/>
        </w:rPr>
        <w:t>the establishment of interconnectivity standards for distributed generation products and services that will improve market entrance conditions for companies and customers seeking to install customer-owned distributed generation products and services.</w:t>
      </w:r>
      <w:r>
        <w:rPr>
          <w:rStyle w:val="FootnoteCharacters"/>
          <w:rStyle w:val="FootnoteReference"/>
          <w:sz w:val="24"/>
        </w:rPr>
        <w:footnoteReference w:id="19"/>
      </w:r>
    </w:p>
    <w:p>
      <w:pPr>
        <w:pStyle w:val="Normal"/>
        <w:rPr>
          <w:sz w:val="24"/>
        </w:rPr>
      </w:pPr>
      <w:r>
        <w:rPr>
          <w:sz w:val="24"/>
        </w:rPr>
      </w:r>
    </w:p>
    <w:p>
      <w:pPr>
        <w:pStyle w:val="Normal"/>
        <w:rPr>
          <w:sz w:val="24"/>
        </w:rPr>
      </w:pPr>
      <w:r>
        <w:rPr>
          <w:sz w:val="24"/>
        </w:rPr>
      </w:r>
    </w:p>
    <w:p>
      <w:pPr>
        <w:pStyle w:val="Normal"/>
        <w:rPr>
          <w:sz w:val="24"/>
        </w:rPr>
      </w:pPr>
      <w:r>
        <w:rPr>
          <w:sz w:val="24"/>
        </w:rPr>
        <w:t xml:space="preserve">None of these proceedings and activities should inhibit or restrict the immediate application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8"/>
        </w:rPr>
        <w:t>Attachment 3:</w:t>
      </w:r>
      <w:r>
        <w:rPr>
          <w:sz w:val="28"/>
        </w:rPr>
        <w:t xml:space="preserve"> ESRA Effects on Distributed Generation Technologies that Do Not Affect PY2000 Plans and Planning Activities</w:t>
      </w:r>
    </w:p>
    <w:p>
      <w:pPr>
        <w:pStyle w:val="Normal"/>
        <w:rPr>
          <w:sz w:val="24"/>
        </w:rPr>
      </w:pPr>
      <w:r>
        <w:rPr>
          <w:sz w:val="24"/>
        </w:rPr>
      </w:r>
    </w:p>
    <w:p>
      <w:pPr>
        <w:pStyle w:val="Normal"/>
        <w:rPr/>
      </w:pPr>
      <w:r>
        <w:rPr>
          <w:b/>
          <w:sz w:val="24"/>
        </w:rPr>
        <w:t>ESRA citations that address the treatment of existing self-generation</w:t>
      </w:r>
      <w:r>
        <w:rPr>
          <w:sz w:val="24"/>
        </w:rPr>
        <w:t>:</w:t>
      </w:r>
    </w:p>
    <w:p>
      <w:pPr>
        <w:pStyle w:val="Normal"/>
        <w:rPr>
          <w:sz w:val="24"/>
        </w:rPr>
      </w:pPr>
      <w:r>
        <w:rPr>
          <w:sz w:val="24"/>
        </w:rPr>
        <w:t xml:space="preserve">Subject to the specific conditions provided in this section,the commission shall determine the applicability to customers of uneconomic costs as specified in Sections 367, 368, 375, and 376.Consistent with this state policy, the commission shall provide that these costs shall not apply to any of the following: (1) To load served onsite or under an over the fence arrangement by a nonmobile self-cogeneration or cogeneration facility that was operational on or before December 20, 1995, or by increases in the capacity of such a facility to the extent that such increased capacity was constructed by an entity holding an ownership interest in or operating the facility and does not exceed 120 percent of the installed capacity as of December 20, 1995, provided that prior to June 30, 2000, the costs shall apply to over the fence arrangements entered into after December 20, 1995, between unaffiliated parties. For the purposes of this subdivision, "affiliated" means any person or entity that directly, or indirectly through one or more intermediaries, controls, is controlled by, or is under common on control with another specified entity. "Control" means either of the following: (A) The possession, directly or indirectly, of the power to director to cause the direction of the management or policies of a person or entity, whether through an ownership, beneficial, contractual, or equitable interest. (B) Direct or indirect ownership of at least 25 percent of an entity, whether through an ownership, beneficial or equitable interest. (2) To load served by onsite or under an over the fence arrangement by a nonmobile self-cogeneration or cogeneration facility for which the customer was committed to construction as of December20, 1995, provided that the facility was substantially operational onor before January 1, 1998, or by increases in the capacity of such a facility to the extent that the increased capacity was constructed by an entity holding an ownership interest in or operating the facility and does not exceed 120 percent of the installed capacity as of January 1, 1998, provided that prior to June 30, 2000, the costs shall apply to over the fence arrangements entered into after December 20, 1995, between unaffiliated parties. (3) To load served by existing, new, or portable emergency generation equipment used to serve the customer's load requirements during periods when utility service is unavailable, provided such emergency generation is not operated in parallel with the integrated electric grid, except on a momentary parallel basis. (4) After June 30, 2000, to any load served onsite or under anover the fence arrangement by any nonmobile self-cogeneration or  cogeneration facility. (b) Further, consistent with state policy, withrespect to self-cogeneration or cogeneration deferral agreements, the commission shall do the following: (1) Provide that a utility shall execute a final self-cogeneration or cogeneration deferral agreement with any customer that, on or before December 20, 1995, had executed a letter of intent (or similar documentation) to enter into the agreement with the utility, provided that the final agreement shall be consistent with the terms and conditions set forth in the letter of intent and the commission shall review and approve the final agreement. (2) Provide that a customer that holds a self-cogeneration or cogeneration deferral agreement that was in place on or before December 20, 1995, or that was executed pursuant to paragraph (1) in the event the agreement expires, or is terminated, may do any of the following: (A) Continue through December 31, 2001, to receive utility service at the rate and under terms and conditions applicable to the customer under the deferral agreement that, as executed, includes an allocation of uneconomic costs consistent with subdivision (e) ofSection 367. (B) Engage in a direct transaction for the purchase of electricity and pay uneconomic costs consistent with Sections 367, 368, 375, and 376. (C) Construct a self-cogeneration or cogeneration facility of approximately the same capacity as the facility previously deferred, provided that the costs provided in Sections 367, 368, 375, and 376shall apply consistent with subdivision (e) of Section 367, unless otherwise authorized by the commission pursuant to subdivision (c). (3) Subject to the fire wall described in subdivision (e) of Section 367 provide that the ratemaking treatment for self-cogeneration or cogeneration deferral agreements executed prior to December 20, 1995, or executed pursuant to paragraph (1) shall be consistent with the ratemaking treatment for the contracts approved before January 1995. (c) The commission shall authorize, within 60 days of the receipt of a joint application from the serving utility and one or more interested parties, applicability conditions as follows: (1) The costs identified in Sections 367, 368, 375, and 376 shall not, prior to June 30, 2000, apply to load served onsite by a nonmobile self-cogeneration or cogeneration facility that became operational on or after December 20, 1995. (2) The costs identified in Sections 367, 368, 375, and 376 shall not, prior to June 30, 2000, apply to any load served under over the fence arrangements entered into after December 20, 1995, between unaffiliated entities. (d) For the purposes of this subdivision, all onsite or over the fence arrangements shall be consistent with Section 218 as it existed on December 20, 1995. </w:t>
      </w:r>
    </w:p>
    <w:p>
      <w:pPr>
        <w:pStyle w:val="Normal"/>
        <w:rPr>
          <w:sz w:val="24"/>
        </w:rPr>
      </w:pPr>
      <w:r>
        <w:rPr>
          <w:sz w:val="24"/>
        </w:rPr>
      </w:r>
    </w:p>
    <w:p>
      <w:pPr>
        <w:pStyle w:val="BodyText3"/>
        <w:rPr/>
      </w:pPr>
      <w:r>
        <w:rPr/>
        <w:t>ESRA citations that address the treatment of new, UDC owned Distributed Generation technologies:</w:t>
      </w:r>
    </w:p>
    <w:p>
      <w:pPr>
        <w:pStyle w:val="Normal"/>
        <w:numPr>
          <w:ilvl w:val="0"/>
          <w:numId w:val="4"/>
        </w:numPr>
        <w:rPr>
          <w:sz w:val="24"/>
        </w:rPr>
      </w:pPr>
      <w:r>
        <w:rPr>
          <w:sz w:val="24"/>
        </w:rPr>
        <w:t>“</w:t>
      </w:r>
      <w:r>
        <w:rPr>
          <w:sz w:val="24"/>
        </w:rPr>
        <w:t>To facilitate the development of new microcogeneration applications, electrical corporations may apply to the commission for a financing order to finance the transition costs to be recovered from customers employing the applications. “</w:t>
      </w:r>
    </w:p>
    <w:p>
      <w:pPr>
        <w:pStyle w:val="Normal"/>
        <w:rPr>
          <w:sz w:val="24"/>
        </w:rPr>
      </w:pPr>
      <w:r>
        <w:rPr>
          <w:sz w:val="24"/>
        </w:rPr>
        <w:t>“</w:t>
      </w:r>
      <w:r>
        <w:rPr>
          <w:sz w:val="24"/>
        </w:rPr>
        <w:t xml:space="preserve">(2) Consistent with the existing statutory authority of the commission, the commission shall afford electrical corporations a reasonable opportunity to fully recover costs it determines are reasonable and prudent to plan, finance, construct, operate, and maintain any facilities under its jurisdiction required by this section.”  </w:t>
      </w:r>
    </w:p>
    <w:p>
      <w:pPr>
        <w:pStyle w:val="Normal"/>
        <w:rPr>
          <w:sz w:val="24"/>
        </w:rPr>
      </w:pPr>
      <w:r>
        <w:rPr>
          <w:sz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2"/>
        </w:rPr>
        <w:t xml:space="preserve"> </w:t>
      </w:r>
      <w:r>
        <w:rPr>
          <w:sz w:val="22"/>
        </w:rPr>
        <w:t>Application 99-09-049, et al.</w:t>
      </w:r>
    </w:p>
  </w:footnote>
  <w:footnote w:id="3">
    <w:p>
      <w:pPr>
        <w:pStyle w:val="FootnoteText"/>
        <w:rPr/>
      </w:pPr>
      <w:r>
        <w:rPr>
          <w:rStyle w:val="FootnoteCharacters"/>
        </w:rPr>
        <w:footnoteRef/>
      </w:r>
      <w:r>
        <w:rPr/>
        <w:t xml:space="preserve"> </w:t>
      </w:r>
      <w:r>
        <w:rPr/>
        <w:t xml:space="preserve">The various proceedings at the Commission that affect current regulatory barriers to customer-owned distributed generation technologies are identified in Attachment 2; none of these proceedings should affect or inhibit the application of the ESRA directives to the CPUC related to changes in the UDC public purpose program plans, budgets or activities. </w:t>
      </w:r>
    </w:p>
  </w:footnote>
  <w:footnote w:id="4">
    <w:p>
      <w:pPr>
        <w:pStyle w:val="FootnoteText"/>
        <w:rPr/>
      </w:pPr>
      <w:r>
        <w:rPr>
          <w:rStyle w:val="FootnoteCharacters"/>
        </w:rPr>
        <w:footnoteRef/>
      </w:r>
      <w:r>
        <w:rPr>
          <w:sz w:val="22"/>
        </w:rPr>
        <w:t xml:space="preserve"> </w:t>
      </w:r>
      <w:r>
        <w:rPr>
          <w:sz w:val="22"/>
        </w:rPr>
        <w:t xml:space="preserve">When chaptered, this feature (SEC. 6) of the AB970 will amend Section 372 of the Public Utilities Code. </w:t>
      </w:r>
    </w:p>
  </w:footnote>
  <w:footnote w:id="5">
    <w:p>
      <w:pPr>
        <w:pStyle w:val="Normal"/>
        <w:rPr/>
      </w:pPr>
      <w:r>
        <w:rPr>
          <w:rStyle w:val="FootnoteCharacters"/>
        </w:rPr>
        <w:footnoteRef/>
      </w:r>
      <w:r>
        <w:rPr>
          <w:sz w:val="22"/>
        </w:rPr>
        <w:t xml:space="preserve"> </w:t>
      </w:r>
      <w:r>
        <w:rPr>
          <w:sz w:val="22"/>
        </w:rPr>
        <w:t xml:space="preserve">By definition, a “cogeneration” facility that is located at or very near the point of use can use waste heat to provide end user thermal needs (heating and cooling) far more efficiently that can be accomplished by central power plants. </w:t>
      </w:r>
    </w:p>
  </w:footnote>
  <w:footnote w:id="6">
    <w:p>
      <w:pPr>
        <w:pStyle w:val="FootnoteText"/>
        <w:rPr/>
      </w:pPr>
      <w:r>
        <w:rPr>
          <w:rStyle w:val="FootnoteCharacters"/>
        </w:rPr>
        <w:footnoteRef/>
      </w:r>
      <w:r>
        <w:rPr>
          <w:sz w:val="22"/>
        </w:rPr>
        <w:t xml:space="preserve"> </w:t>
      </w:r>
      <w:r>
        <w:rPr>
          <w:sz w:val="22"/>
        </w:rPr>
        <w:t>In the most recent CEC demand forecast, the current (1999) size of electrical loads met by “private supply” is about 1500 MW in the combined service territories of PG&amp;E (849 MW), SCE (585 MW), and SDG&amp;E (59 MW); see Appendix D, “California Energy Demand: 2000-2010,” CEC staff report, June, 2000. A report prepared for the DOE’s Energy Information Agency estimates that current installations of “Combined Heat and Power (CPH)” technologies in California in commercial buildings amount to about 850 MW; this report to the EIA includes an estimate of the technical potential in just the commercial building sector alone is estimated in this study as over 7000 MW. See  Reference A.3 in Attachment I.</w:t>
      </w:r>
    </w:p>
  </w:footnote>
  <w:footnote w:id="7">
    <w:p>
      <w:pPr>
        <w:pStyle w:val="FootnoteText"/>
        <w:rPr/>
      </w:pPr>
      <w:r>
        <w:rPr>
          <w:rStyle w:val="FootnoteCharacters"/>
        </w:rPr>
        <w:footnoteRef/>
      </w:r>
      <w:r>
        <w:rPr/>
        <w:t xml:space="preserve"> </w:t>
      </w:r>
      <w:r>
        <w:rPr/>
        <w:t>See Attachment 3.</w:t>
      </w:r>
    </w:p>
  </w:footnote>
  <w:footnote w:id="8">
    <w:p>
      <w:pPr>
        <w:pStyle w:val="FootnoteText"/>
        <w:rPr/>
      </w:pPr>
      <w:r>
        <w:rPr>
          <w:rStyle w:val="FootnoteCharacters"/>
        </w:rPr>
        <w:footnoteRef/>
      </w:r>
      <w:r>
        <w:rPr>
          <w:sz w:val="22"/>
        </w:rPr>
        <w:t xml:space="preserve"> </w:t>
      </w:r>
      <w:r>
        <w:rPr>
          <w:sz w:val="22"/>
        </w:rPr>
        <w:t xml:space="preserve">See Attachment 3 for ESRA citations that affect any new UDC-owned and operated application of co-generation technologies. </w:t>
      </w:r>
    </w:p>
    <w:p>
      <w:pPr>
        <w:pStyle w:val="FootnoteText"/>
        <w:rPr>
          <w:sz w:val="22"/>
        </w:rPr>
      </w:pPr>
      <w:r>
        <w:rPr>
          <w:sz w:val="22"/>
        </w:rPr>
      </w:r>
    </w:p>
  </w:footnote>
  <w:footnote w:id="9">
    <w:p>
      <w:pPr>
        <w:pStyle w:val="FootnoteText"/>
        <w:rPr/>
      </w:pPr>
      <w:r>
        <w:rPr>
          <w:rStyle w:val="FootnoteCharacters"/>
        </w:rPr>
        <w:footnoteRef/>
      </w:r>
      <w:r>
        <w:rPr/>
        <w:t xml:space="preserve"> </w:t>
      </w:r>
      <w:r>
        <w:rPr/>
        <w:t xml:space="preserve">See Attachment 2 for an identification of Commission proceedings where these set of relationships are or will be addressed in the short term. </w:t>
      </w:r>
    </w:p>
  </w:footnote>
  <w:footnote w:id="10">
    <w:p>
      <w:pPr>
        <w:pStyle w:val="Normal"/>
        <w:rPr/>
      </w:pPr>
      <w:r>
        <w:rPr>
          <w:rStyle w:val="FootnoteCharacters"/>
        </w:rPr>
        <w:footnoteRef/>
      </w:r>
      <w:r>
        <w:rPr>
          <w:sz w:val="22"/>
        </w:rPr>
        <w:t xml:space="preserve"> </w:t>
      </w:r>
      <w:r>
        <w:rPr>
          <w:sz w:val="22"/>
        </w:rPr>
        <w:t xml:space="preserve">The full citation that identifies the distributed generation technology support to the Commission is as follows: “Those initiatives shall include, but not be limited to, all of the following: (1) Expansion and acceleration of residential and commercial weatherization programs. (2) Expansion and acceleration of programs to inspect and improve the operating efficiency of heating, ventilation, and air-conditioning equipment in new and existing buildings, to ensure that these systems achieve the maximum feasible cost-effective energy efficiency. (3) Expansion and acceleration of programs to improve energy efficiency in new buildings, in order to achieve the maximum feasible reductions in uneconomic energy and peak electricity consumption. (4) Incentives to equip commercial buildings with the capacity to automatically shut down or dim nonessential lighting and incrementally raise thermostats during peak electricity demand period. (5) Evaluation of installing local infrastructure to link temperature setback thermostats to real-time price signals. (6) Incentives for load control and distributed generation to be paid for enhancing reliability. (7) Differential incentives for renewable or super clean distributed generation resources. (8) Reevaluation of all efficiency cost-effectiveness tests in light of increases in wholesale electricity costs and of natural gas costs to explicitly include the system value of reduced load on reducing market clearing prices and volatility.”  Item (8) in this section of the ESRA was the subject of a September    , 2000 ALJ Ruling to apply the “cost-effectiveness” directive to PY2001 activities. </w:t>
      </w:r>
    </w:p>
    <w:p>
      <w:pPr>
        <w:pStyle w:val="Normal"/>
        <w:rPr>
          <w:sz w:val="22"/>
        </w:rPr>
      </w:pPr>
      <w:r>
        <w:rPr>
          <w:sz w:val="22"/>
        </w:rPr>
      </w:r>
    </w:p>
    <w:p>
      <w:pPr>
        <w:pStyle w:val="FootnoteText"/>
        <w:rPr>
          <w:sz w:val="22"/>
        </w:rPr>
      </w:pPr>
      <w:r>
        <w:rPr>
          <w:sz w:val="22"/>
        </w:rPr>
      </w:r>
    </w:p>
  </w:footnote>
  <w:footnote w:id="11">
    <w:p>
      <w:pPr>
        <w:pStyle w:val="FootnoteText"/>
        <w:rPr/>
      </w:pPr>
      <w:r>
        <w:rPr>
          <w:rStyle w:val="FootnoteCharacters"/>
        </w:rPr>
        <w:footnoteRef/>
      </w:r>
      <w:r>
        <w:rPr>
          <w:sz w:val="22"/>
        </w:rPr>
        <w:t xml:space="preserve"> </w:t>
      </w:r>
      <w:r>
        <w:rPr>
          <w:sz w:val="22"/>
        </w:rPr>
        <w:t xml:space="preserve">Documents that identify—and justify--these three distributed generation technologies that have gone beyond the R&amp;D stage and are the current “leaders” in this emerging distributive generation technology industry, are identified in Attachment 1. </w:t>
      </w:r>
    </w:p>
  </w:footnote>
  <w:footnote w:id="12">
    <w:p>
      <w:pPr>
        <w:pStyle w:val="FootnoteText"/>
        <w:rPr/>
      </w:pPr>
      <w:r>
        <w:rPr>
          <w:rStyle w:val="FootnoteCharacters"/>
        </w:rPr>
        <w:footnoteRef/>
      </w:r>
      <w:r>
        <w:rPr>
          <w:sz w:val="22"/>
        </w:rPr>
        <w:t xml:space="preserve"> </w:t>
      </w:r>
      <w:r>
        <w:rPr>
          <w:sz w:val="22"/>
        </w:rPr>
        <w:t xml:space="preserve">See Attachment 1. </w:t>
      </w:r>
    </w:p>
  </w:footnote>
  <w:footnote w:id="13">
    <w:p>
      <w:pPr>
        <w:pStyle w:val="FootnoteText"/>
        <w:rPr/>
      </w:pPr>
      <w:r>
        <w:rPr>
          <w:rStyle w:val="FootnoteCharacters"/>
        </w:rPr>
        <w:footnoteRef/>
      </w:r>
      <w:r>
        <w:rPr/>
        <w:t xml:space="preserve"> </w:t>
      </w:r>
      <w:r>
        <w:rPr/>
        <w:t xml:space="preserve">In case any UDC program managers or program planners are unaware of this literature, the Commission can ensure their awareness by including the document references in Attachment 1 in its directive to the UDCs to integrate customer-owned distributive generation products and services into their PY2001 plans, budgets, and activities. </w:t>
      </w:r>
    </w:p>
  </w:footnote>
  <w:footnote w:id="14">
    <w:p>
      <w:pPr>
        <w:pStyle w:val="FootnoteText"/>
        <w:rPr/>
      </w:pPr>
      <w:r>
        <w:rPr>
          <w:rStyle w:val="FootnoteCharacters"/>
        </w:rPr>
        <w:footnoteRef/>
      </w:r>
      <w:r>
        <w:rPr>
          <w:sz w:val="22"/>
        </w:rPr>
        <w:t xml:space="preserve"> </w:t>
      </w:r>
      <w:r>
        <w:rPr>
          <w:sz w:val="22"/>
        </w:rPr>
        <w:t>Given current Commission practices and relatively late stage of the planning process, “directive from the Commission” could certainly consist of a Ruling from the Assigned Commissioner office and Assigned ALJ.</w:t>
      </w:r>
    </w:p>
  </w:footnote>
  <w:footnote w:id="15">
    <w:p>
      <w:pPr>
        <w:pStyle w:val="FootnoteText"/>
        <w:rPr/>
      </w:pPr>
      <w:r>
        <w:rPr>
          <w:rStyle w:val="FootnoteCharacters"/>
        </w:rPr>
        <w:footnoteRef/>
      </w:r>
      <w:r>
        <w:rPr/>
        <w:t xml:space="preserve"> </w:t>
      </w:r>
      <w:r>
        <w:rPr/>
        <w:t>See Section V for further explanation.</w:t>
      </w:r>
    </w:p>
  </w:footnote>
  <w:footnote w:id="16">
    <w:p>
      <w:pPr>
        <w:pStyle w:val="FootnoteText"/>
        <w:rPr/>
      </w:pPr>
      <w:r>
        <w:rPr>
          <w:rStyle w:val="FootnoteCharacters"/>
        </w:rPr>
        <w:footnoteRef/>
      </w:r>
      <w:r>
        <w:rPr>
          <w:sz w:val="22"/>
        </w:rPr>
        <w:t xml:space="preserve"> </w:t>
      </w:r>
      <w:r>
        <w:rPr>
          <w:sz w:val="22"/>
        </w:rPr>
        <w:t>OII on Interruption Policy, identified as Item 2 on the agenda for the September 21</w:t>
      </w:r>
      <w:r>
        <w:rPr>
          <w:sz w:val="22"/>
          <w:vertAlign w:val="superscript"/>
        </w:rPr>
        <w:t>st</w:t>
      </w:r>
      <w:r>
        <w:rPr>
          <w:sz w:val="22"/>
        </w:rPr>
        <w:t xml:space="preserve"> business meeting, but held until the October 5</w:t>
      </w:r>
      <w:r>
        <w:rPr>
          <w:sz w:val="22"/>
          <w:vertAlign w:val="superscript"/>
        </w:rPr>
        <w:t>th</w:t>
      </w:r>
      <w:r>
        <w:rPr>
          <w:sz w:val="22"/>
        </w:rPr>
        <w:t xml:space="preserve"> business meeting; depending the scope and content of this OII, issues associated with interruption policies, practices and procedures may be addressable in I. 00-08-002.</w:t>
      </w:r>
    </w:p>
  </w:footnote>
  <w:footnote w:id="17">
    <w:p>
      <w:pPr>
        <w:pStyle w:val="FootnoteText"/>
        <w:rPr/>
      </w:pPr>
      <w:r>
        <w:rPr>
          <w:rStyle w:val="FootnoteCharacters"/>
        </w:rPr>
        <w:footnoteRef/>
      </w:r>
      <w:r>
        <w:rPr>
          <w:sz w:val="22"/>
        </w:rPr>
        <w:t xml:space="preserve"> </w:t>
      </w:r>
      <w:r>
        <w:rPr>
          <w:sz w:val="22"/>
        </w:rPr>
        <w:t>Ibid.</w:t>
      </w:r>
    </w:p>
  </w:footnote>
  <w:footnote w:id="18">
    <w:p>
      <w:pPr>
        <w:pStyle w:val="FootnoteText"/>
        <w:rPr/>
      </w:pPr>
      <w:r>
        <w:rPr>
          <w:rStyle w:val="FootnoteCharacters"/>
        </w:rPr>
        <w:footnoteRef/>
      </w:r>
      <w:r>
        <w:rPr>
          <w:sz w:val="22"/>
        </w:rPr>
        <w:t xml:space="preserve"> </w:t>
      </w:r>
      <w:r>
        <w:rPr>
          <w:sz w:val="22"/>
        </w:rPr>
        <w:t>Addressed</w:t>
      </w:r>
      <w:r>
        <w:rPr/>
        <w:t xml:space="preserve"> </w:t>
      </w:r>
      <w:r>
        <w:rPr>
          <w:sz w:val="22"/>
        </w:rPr>
        <w:t xml:space="preserve">Phase II of the Distributed Generation OIR (R.99-10-065), electric UDC General Rate Cases (GRCs) and PTRs.  </w:t>
      </w:r>
    </w:p>
  </w:footnote>
  <w:footnote w:id="19">
    <w:p>
      <w:pPr>
        <w:pStyle w:val="FootnoteText"/>
        <w:rPr/>
      </w:pPr>
      <w:r>
        <w:rPr>
          <w:rStyle w:val="FootnoteCharacters"/>
        </w:rPr>
        <w:footnoteRef/>
      </w:r>
      <w:r>
        <w:rPr>
          <w:sz w:val="22"/>
        </w:rPr>
        <w:t xml:space="preserve"> </w:t>
      </w:r>
      <w:r>
        <w:rPr>
          <w:sz w:val="22"/>
        </w:rPr>
        <w:t>Being addressed in the DG OIR at the CEC.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riefTitle">
    <w:name w:val="Brief Title"/>
    <w:basedOn w:val="Normal"/>
    <w:qFormat/>
    <w:pPr>
      <w:tabs>
        <w:tab w:val="clear" w:pos="720"/>
        <w:tab w:val="right" w:pos="5040" w:leader="none"/>
      </w:tabs>
      <w:jc w:val="center"/>
    </w:pPr>
    <w:rPr>
      <w:b/>
      <w:caps/>
      <w:sz w:val="26"/>
    </w:rPr>
  </w:style>
  <w:style w:type="paragraph" w:styleId="BodyText2">
    <w:name w:val="Body Text 2"/>
    <w:basedOn w:val="Normal"/>
    <w:qFormat/>
    <w:pPr/>
    <w:rPr>
      <w:sz w:val="24"/>
    </w:rPr>
  </w:style>
  <w:style w:type="paragraph" w:styleId="BodyText3">
    <w:name w:val="Body Text 3"/>
    <w:basedOn w:val="Normal"/>
    <w:qFormat/>
    <w:pPr/>
    <w:rPr>
      <w:b/>
      <w:sz w:val="24"/>
    </w:rPr>
  </w:style>
  <w:style w:type="paragraph" w:styleId="BodyTextIndent">
    <w:name w:val="Body Text Indent"/>
    <w:basedOn w:val="Normal"/>
    <w:pPr>
      <w:ind w:hanging="0" w:start="720" w:end="0"/>
    </w:pPr>
    <w:rPr>
      <w:sz w:val="24"/>
    </w:rPr>
  </w:style>
  <w:style w:type="paragraph" w:styleId="H2">
    <w:name w:val="H2"/>
    <w:basedOn w:val="Normal"/>
    <w:next w:val="Normal"/>
    <w:qFormat/>
    <w:pPr>
      <w:keepNext w:val="true"/>
      <w:spacing w:before="100" w:after="100"/>
      <w:outlineLvl w:val="2"/>
    </w:pPr>
    <w:rPr>
      <w:b/>
      <w:sz w:val="36"/>
      <w:lang w:eastAsia="en-US"/>
    </w:rPr>
  </w:style>
  <w:style w:type="paragraph" w:styleId="H1">
    <w:name w:val="H1"/>
    <w:basedOn w:val="Normal"/>
    <w:next w:val="Normal"/>
    <w:qFormat/>
    <w:pPr>
      <w:keepNext w:val="true"/>
      <w:spacing w:before="100" w:after="100"/>
      <w:outlineLvl w:val="1"/>
    </w:pPr>
    <w:rPr>
      <w:b/>
      <w:kern w:val="2"/>
      <w:sz w:val="48"/>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2000-09-26T18:39:00Z</dcterms:created>
  <dc:creator>Don Schultz</dc:creator>
  <dc:description/>
  <dc:language>en-CA</dc:language>
  <cp:lastModifiedBy>Don Schultz</cp:lastModifiedBy>
  <cp:lastPrinted>2000-09-26T11:09:00Z</cp:lastPrinted>
  <dcterms:modified xsi:type="dcterms:W3CDTF">2000-09-26T18:39:00Z</dcterms:modified>
  <cp:revision>2</cp:revision>
  <dc:subject/>
  <dc:title>ORA</dc:title>
</cp:coreProperties>
</file>