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ind w:start="0" w:end="0"/>
        <w:jc w:val="center"/>
        <w:rPr>
          <w:rFonts w:ascii="Times New Roman" w:hAnsi="Times New Roman" w:cs="Times New Roman"/>
          <w:b/>
        </w:rPr>
      </w:pPr>
      <w:r>
        <w:rPr>
          <w:rFonts w:cs="Times New Roman" w:ascii="Times New Roman" w:hAnsi="Times New Roman"/>
          <w:b/>
        </w:rPr>
        <w:t>BEFORE THE PUBLIC UTILITIES COMMISSION</w:t>
        <w:br/>
        <w:t>OF THE STATE OF CALIFORNIA</w:t>
      </w:r>
    </w:p>
    <w:p>
      <w:pPr>
        <w:pStyle w:val="Normal"/>
        <w:jc w:val="center"/>
        <w:rPr>
          <w:rFonts w:ascii="Times New Roman" w:hAnsi="Times New Roman" w:cs="Times New Roman"/>
          <w:b/>
        </w:rPr>
      </w:pPr>
      <w:r>
        <w:rPr>
          <w:rFonts w:cs="Times New Roman"/>
          <w:b/>
        </w:rPr>
      </w:r>
    </w:p>
    <w:p>
      <w:pPr>
        <w:pStyle w:val="Footer"/>
        <w:tabs>
          <w:tab w:val="clear" w:pos="4320"/>
          <w:tab w:val="clear" w:pos="8640"/>
        </w:tabs>
        <w:jc w:val="center"/>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b/>
        </w:rPr>
      </w:r>
    </w:p>
    <w:tbl>
      <w:tblPr>
        <w:tblW w:w="7920" w:type="dxa"/>
        <w:jc w:val="start"/>
        <w:tblInd w:w="0" w:type="dxa"/>
        <w:tblLayout w:type="fixed"/>
        <w:tblCellMar>
          <w:top w:w="0" w:type="dxa"/>
          <w:start w:w="108" w:type="dxa"/>
          <w:bottom w:w="0" w:type="dxa"/>
          <w:end w:w="108" w:type="dxa"/>
        </w:tblCellMar>
      </w:tblPr>
      <w:tblGrid>
        <w:gridCol w:w="4698"/>
        <w:gridCol w:w="270"/>
        <w:gridCol w:w="2952"/>
      </w:tblGrid>
      <w:tr>
        <w:trPr/>
        <w:tc>
          <w:tcPr>
            <w:tcW w:w="4698" w:type="dxa"/>
            <w:tcBorders>
              <w:bottom w:val="single" w:sz="4" w:space="0" w:color="000000"/>
            </w:tcBorders>
          </w:tcPr>
          <w:p>
            <w:pPr>
              <w:pStyle w:val="Normal"/>
              <w:ind w:end="-108"/>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ind w:end="-108"/>
              <w:rPr/>
            </w:pPr>
            <w:r>
              <w:rPr/>
            </w:r>
          </w:p>
        </w:tc>
        <w:tc>
          <w:tcPr>
            <w:tcW w:w="270" w:type="dxa"/>
            <w:tcBorders/>
          </w:tcPr>
          <w:p>
            <w:pPr>
              <w:pStyle w:val="Normal"/>
              <w:rPr/>
            </w:pPr>
            <w:r>
              <w:rPr/>
              <w:t>)))))))))</w:t>
            </w:r>
          </w:p>
        </w:tc>
        <w:tc>
          <w:tcPr>
            <w:tcW w:w="2952" w:type="dxa"/>
            <w:tcBorders/>
          </w:tcPr>
          <w:p>
            <w:pPr>
              <w:pStyle w:val="Footer"/>
              <w:tabs>
                <w:tab w:val="clear" w:pos="4320"/>
                <w:tab w:val="clear" w:pos="8640"/>
              </w:tabs>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rPr>
            </w:r>
          </w:p>
          <w:p>
            <w:pPr>
              <w:pStyle w:val="Normal"/>
              <w:rPr/>
            </w:pPr>
            <w:r>
              <w:rPr/>
              <w:t xml:space="preserve">      </w:t>
            </w:r>
            <w:r>
              <w:rPr/>
              <w:t>I.99-07-003</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OPENING BRIEF OF THE</w:t>
      </w:r>
    </w:p>
    <w:p>
      <w:pPr>
        <w:pStyle w:val="Heading1"/>
        <w:ind w:hanging="0" w:start="0"/>
        <w:rPr/>
      </w:pPr>
      <w:r>
        <w:rPr/>
        <w:t xml:space="preserve">CALIFORNIA INDUSTRIAL GROUP AND </w:t>
      </w:r>
    </w:p>
    <w:p>
      <w:pPr>
        <w:pStyle w:val="Heading1"/>
        <w:ind w:hanging="0" w:start="0"/>
        <w:rPr/>
      </w:pPr>
      <w:r>
        <w:rPr/>
        <w:t>CALIFORNIA MANUFACTURERS &amp; TECHNOLOGY ASSOCIATION</w:t>
      </w:r>
    </w:p>
    <w:p>
      <w:pPr>
        <w:pStyle w:val="BodyText2"/>
        <w:ind w:start="0" w:end="0"/>
        <w:jc w:val="center"/>
        <w:rPr>
          <w:rFonts w:ascii="Times New Roman" w:hAnsi="Times New Roman" w:cs="Times New Roman"/>
          <w:b/>
        </w:rPr>
      </w:pPr>
      <w:r>
        <w:rPr>
          <w:rFonts w:cs="Times New Roman" w:ascii="Times New Roman" w:hAnsi="Times New Roman"/>
          <w:b/>
        </w:rPr>
      </w:r>
    </w:p>
    <w:p>
      <w:pPr>
        <w:pStyle w:val="BodyText2"/>
        <w:ind w:start="0" w:end="0"/>
        <w:jc w:val="center"/>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Keith R. McCrea</w:t>
      </w:r>
    </w:p>
    <w:p>
      <w:pPr>
        <w:pStyle w:val="Normal"/>
        <w:rPr/>
      </w:pPr>
      <w:r>
        <w:rPr/>
        <w:tab/>
        <w:tab/>
        <w:tab/>
        <w:tab/>
        <w:tab/>
        <w:tab/>
        <w:tab/>
      </w:r>
      <w:r>
        <w:rPr>
          <w:smallCaps/>
        </w:rPr>
        <w:t>Sutherland Asbill &amp; Brennan LLP</w:t>
      </w:r>
    </w:p>
    <w:p>
      <w:pPr>
        <w:pStyle w:val="Footer"/>
        <w:tabs>
          <w:tab w:val="clear" w:pos="4320"/>
          <w:tab w:val="clear" w:pos="8640"/>
        </w:tabs>
        <w:rPr>
          <w:rFonts w:ascii="Times New Roman" w:hAnsi="Times New Roman" w:cs="Times New Roman"/>
        </w:rPr>
      </w:pPr>
      <w:r>
        <w:rPr>
          <w:rFonts w:cs="Times New Roman" w:ascii="Times New Roman" w:hAnsi="Times New Roman"/>
        </w:rPr>
        <w:tab/>
        <w:tab/>
        <w:tab/>
        <w:tab/>
        <w:tab/>
        <w:tab/>
        <w:tab/>
        <w:t>1275 Pennsylvania Avenue, N.W.</w:t>
      </w:r>
    </w:p>
    <w:p>
      <w:pPr>
        <w:pStyle w:val="Normal"/>
        <w:rPr/>
      </w:pPr>
      <w:r>
        <w:rPr/>
        <w:tab/>
        <w:tab/>
        <w:tab/>
        <w:tab/>
        <w:tab/>
        <w:tab/>
        <w:tab/>
        <w:t>Washington, D.C.  20004</w:t>
      </w:r>
    </w:p>
    <w:p>
      <w:pPr>
        <w:pStyle w:val="Normal"/>
        <w:rPr/>
      </w:pPr>
      <w:r>
        <w:rPr/>
        <w:tab/>
        <w:tab/>
        <w:tab/>
        <w:tab/>
        <w:tab/>
        <w:tab/>
        <w:tab/>
        <w:t>(202) 383-0100</w:t>
      </w:r>
    </w:p>
    <w:p>
      <w:pPr>
        <w:pStyle w:val="Normal"/>
        <w:rPr/>
      </w:pPr>
      <w:r>
        <w:rPr/>
        <w:tab/>
        <w:tab/>
        <w:tab/>
        <w:tab/>
        <w:tab/>
        <w:tab/>
        <w:tab/>
        <w:t>kmccrea@sablaw.com</w:t>
      </w:r>
    </w:p>
    <w:p>
      <w:pPr>
        <w:pStyle w:val="Normal"/>
        <w:rPr/>
      </w:pPr>
      <w:r>
        <w:rPr/>
      </w:r>
    </w:p>
    <w:p>
      <w:pPr>
        <w:pStyle w:val="Normal"/>
        <w:rPr/>
      </w:pPr>
      <w:r>
        <w:rPr/>
        <w:tab/>
        <w:tab/>
      </w:r>
      <w:r>
        <w:rPr>
          <w:i/>
          <w:sz w:val="22"/>
        </w:rPr>
        <w:tab/>
        <w:tab/>
        <w:tab/>
        <w:tab/>
        <w:tab/>
        <w:t>Attorney for the</w:t>
      </w:r>
    </w:p>
    <w:p>
      <w:pPr>
        <w:pStyle w:val="Normal"/>
        <w:rPr>
          <w:i/>
          <w:i/>
          <w:sz w:val="22"/>
        </w:rPr>
      </w:pPr>
      <w:r>
        <w:rPr>
          <w:i/>
          <w:sz w:val="22"/>
        </w:rPr>
        <w:tab/>
        <w:tab/>
        <w:tab/>
        <w:tab/>
        <w:tab/>
        <w:tab/>
        <w:tab/>
        <w:t>California Industrial Group and</w:t>
      </w:r>
    </w:p>
    <w:p>
      <w:pPr>
        <w:pStyle w:val="Normal"/>
        <w:rPr>
          <w:i/>
          <w:i/>
          <w:sz w:val="22"/>
        </w:rPr>
      </w:pPr>
      <w:r>
        <w:rPr>
          <w:i/>
          <w:sz w:val="22"/>
        </w:rPr>
        <w:tab/>
        <w:tab/>
        <w:tab/>
        <w:tab/>
        <w:tab/>
        <w:tab/>
        <w:tab/>
        <w:t xml:space="preserve">California Manufacturers &amp; Technology </w:t>
        <w:tab/>
        <w:tab/>
        <w:tab/>
        <w:tab/>
        <w:tab/>
        <w:tab/>
        <w:tab/>
        <w:tab/>
        <w:t>Association</w:t>
      </w:r>
    </w:p>
    <w:p>
      <w:pPr>
        <w:pStyle w:val="Normal"/>
        <w:rPr>
          <w:i/>
          <w:i/>
          <w:sz w:val="22"/>
        </w:rPr>
      </w:pPr>
      <w:r>
        <w:rPr>
          <w:i/>
          <w:sz w:val="22"/>
        </w:rPr>
      </w:r>
    </w:p>
    <w:p>
      <w:pPr>
        <w:pStyle w:val="Normal"/>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rPr/>
      </w:pPr>
      <w:r>
        <w:rPr/>
        <w:t>July 7, 2000</w:t>
      </w:r>
    </w:p>
    <w:p>
      <w:pPr>
        <w:pStyle w:val="BodyText2"/>
        <w:ind w:start="0" w:end="0"/>
        <w:jc w:val="center"/>
        <w:rPr>
          <w:rFonts w:ascii="Times New Roman" w:hAnsi="Times New Roman" w:cs="Times New Roman"/>
          <w:b/>
        </w:rPr>
      </w:pPr>
      <w:r>
        <w:rPr>
          <w:rFonts w:cs="Times New Roman" w:ascii="Times New Roman" w:hAnsi="Times New Roman"/>
          <w:b/>
        </w:rPr>
        <w:t>BEFORE THE PUBLIC UTILITIES COMMISSION</w:t>
        <w:br/>
        <w:t>OF THE STATE OF CALIFORNIA</w:t>
      </w:r>
    </w:p>
    <w:p>
      <w:pPr>
        <w:pStyle w:val="Normal"/>
        <w:jc w:val="center"/>
        <w:rPr>
          <w:rFonts w:ascii="Times New Roman" w:hAnsi="Times New Roman" w:cs="Times New Roman"/>
          <w:b/>
        </w:rPr>
      </w:pPr>
      <w:r>
        <w:rPr>
          <w:rFonts w:cs="Times New Roman"/>
          <w:b/>
        </w:rPr>
      </w:r>
    </w:p>
    <w:p>
      <w:pPr>
        <w:pStyle w:val="Footer"/>
        <w:tabs>
          <w:tab w:val="clear" w:pos="4320"/>
          <w:tab w:val="clear" w:pos="8640"/>
        </w:tabs>
        <w:jc w:val="center"/>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b/>
        </w:rPr>
      </w:r>
    </w:p>
    <w:tbl>
      <w:tblPr>
        <w:tblW w:w="7920" w:type="dxa"/>
        <w:jc w:val="start"/>
        <w:tblInd w:w="0" w:type="dxa"/>
        <w:tblLayout w:type="fixed"/>
        <w:tblCellMar>
          <w:top w:w="0" w:type="dxa"/>
          <w:start w:w="108" w:type="dxa"/>
          <w:bottom w:w="0" w:type="dxa"/>
          <w:end w:w="108" w:type="dxa"/>
        </w:tblCellMar>
      </w:tblPr>
      <w:tblGrid>
        <w:gridCol w:w="4698"/>
        <w:gridCol w:w="270"/>
        <w:gridCol w:w="2952"/>
      </w:tblGrid>
      <w:tr>
        <w:trPr/>
        <w:tc>
          <w:tcPr>
            <w:tcW w:w="4698" w:type="dxa"/>
            <w:tcBorders>
              <w:bottom w:val="single" w:sz="4" w:space="0" w:color="000000"/>
            </w:tcBorders>
          </w:tcPr>
          <w:p>
            <w:pPr>
              <w:pStyle w:val="Normal"/>
              <w:ind w:end="-108"/>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ind w:end="-108"/>
              <w:rPr/>
            </w:pPr>
            <w:r>
              <w:rPr/>
            </w:r>
          </w:p>
        </w:tc>
        <w:tc>
          <w:tcPr>
            <w:tcW w:w="270" w:type="dxa"/>
            <w:tcBorders/>
          </w:tcPr>
          <w:p>
            <w:pPr>
              <w:pStyle w:val="Normal"/>
              <w:rPr/>
            </w:pPr>
            <w:r>
              <w:rPr/>
              <w:t>)))))))))</w:t>
            </w:r>
          </w:p>
        </w:tc>
        <w:tc>
          <w:tcPr>
            <w:tcW w:w="2952" w:type="dxa"/>
            <w:tcBorders/>
          </w:tcPr>
          <w:p>
            <w:pPr>
              <w:pStyle w:val="Normal"/>
              <w:snapToGrid w:val="false"/>
              <w:rPr/>
            </w:pPr>
            <w:r>
              <w:rPr/>
            </w:r>
          </w:p>
          <w:p>
            <w:pPr>
              <w:pStyle w:val="Normal"/>
              <w:rPr/>
            </w:pPr>
            <w:r>
              <w:rPr/>
            </w:r>
          </w:p>
          <w:p>
            <w:pPr>
              <w:pStyle w:val="Normal"/>
              <w:rPr/>
            </w:pPr>
            <w:r>
              <w:rPr/>
              <w:t xml:space="preserve">     </w:t>
            </w:r>
            <w:r>
              <w:rPr/>
              <w:t>I.99-07-003</w:t>
            </w:r>
          </w:p>
        </w:tc>
      </w:tr>
    </w:tbl>
    <w:p>
      <w:pPr>
        <w:pStyle w:val="Normal"/>
        <w:rPr/>
      </w:pPr>
      <w:r>
        <w:rPr/>
      </w:r>
    </w:p>
    <w:p>
      <w:pPr>
        <w:pStyle w:val="Normal"/>
        <w:rPr/>
      </w:pPr>
      <w:r>
        <w:rPr/>
      </w:r>
    </w:p>
    <w:p>
      <w:pPr>
        <w:pStyle w:val="Heading1"/>
        <w:ind w:hanging="0" w:start="0"/>
        <w:rPr/>
      </w:pPr>
      <w:r>
        <w:rPr/>
        <w:t>OPENING BRIEF OF THE</w:t>
      </w:r>
    </w:p>
    <w:p>
      <w:pPr>
        <w:pStyle w:val="Heading1"/>
        <w:ind w:hanging="0" w:start="0"/>
        <w:rPr/>
      </w:pPr>
      <w:r>
        <w:rPr/>
        <w:t xml:space="preserve">CALIFORNIA INDUSTRIAL GROUP AND </w:t>
      </w:r>
    </w:p>
    <w:p>
      <w:pPr>
        <w:pStyle w:val="Heading1"/>
        <w:ind w:hanging="0" w:start="0"/>
        <w:rPr/>
      </w:pPr>
      <w:r>
        <w:rPr/>
        <w:t>CALIFORNIA MANUFACTURERS &amp; TECHNOLOGY ASSOCIATION</w:t>
      </w:r>
    </w:p>
    <w:p>
      <w:pPr>
        <w:pStyle w:val="Normal"/>
        <w:rPr/>
      </w:pPr>
      <w:r>
        <w:rPr/>
      </w:r>
    </w:p>
    <w:p>
      <w:pPr>
        <w:pStyle w:val="Normal"/>
        <w:rPr/>
      </w:pPr>
      <w:r>
        <w:rPr/>
      </w:r>
    </w:p>
    <w:p>
      <w:pPr>
        <w:pStyle w:val="Normal"/>
        <w:spacing w:lineRule="auto" w:line="480"/>
        <w:rPr/>
      </w:pPr>
      <w:r>
        <w:rPr/>
        <w:tab/>
        <w:t>Pursuant to the procedural schedule established in this proceeding, the California Industrial Group and California Manufacturers &amp; Technology Association (“CIG/CMTA”) hereby submit their opening brief in this proceeding.  Although CIG/CMTA was not an active participant in the recently concluded evidentiary hearings, CIG/CMTA have actively participated in other phases of this proceeding and were active parties in the negotiations leading to the settlements currently pending before the Commission.</w:t>
      </w:r>
    </w:p>
    <w:p>
      <w:pPr>
        <w:pStyle w:val="Normal"/>
        <w:spacing w:lineRule="auto" w:line="480"/>
        <w:rPr/>
      </w:pPr>
      <w:r>
        <w:rPr/>
        <w:tab/>
        <w:t xml:space="preserve">CIG/CMTA are signatories to the “Interim Settlement Enhancing and Enabling Competitive Markets on the SoCalGas System,” (“Interim Settlement”) dated December 27, 1999.  CIG/CMTA also are signatories to the “Comprehensive Gas OII Settlement Agreement for Southern California Gas Company and San Diego Gas and Electric Company,” (“Comprehensive Settlement”) dated April 17, 2000.  CIG/CMTA continue to support the Interim Settlement.  However, as stated in Section 1.12 of the Comprehensive Settlement, to the extent the Commission finds the Interim Settlement to be insufficiently consistent with the promising options identified in Decision 99-07-015 or otherwise to be unacceptable, CIG/CMTA support full implementation of the Comprehensive Settlement.  </w:t>
      </w:r>
    </w:p>
    <w:p>
      <w:pPr>
        <w:pStyle w:val="Normal"/>
        <w:spacing w:lineRule="auto" w:line="480"/>
        <w:rPr/>
      </w:pPr>
      <w:r>
        <w:rPr/>
        <w:tab/>
        <w:t>Within this context, CIG/CMTA support adoption of the Comprehensive Settlement for the reasons listed below.</w:t>
      </w:r>
    </w:p>
    <w:p>
      <w:pPr>
        <w:pStyle w:val="Normal"/>
        <w:spacing w:lineRule="auto" w:line="480"/>
        <w:rPr/>
      </w:pPr>
      <w:r>
        <w:rPr/>
        <w:tab/>
        <w:t>1.</w:t>
        <w:tab/>
        <w:t>The Comprehensive Settlement creates a system of firm tradable intrastate transmission rights consistent with D.99-07-015 and with the existence of such tradable intrastate transmission rights on the PG&amp;E system.  Customers such as CIG/CMTA members will be free to choose between (1) acquiring intrastate capacity in their own names and in amounts consistent with their needs, or (2) simply foregoing the acquisition of capacity and instead buy from marketers at the citygate.  The unbundling of intrastate capacity allows customers to select the option that best suits their circumstances and to pay only for the services that they selected.</w:t>
      </w:r>
    </w:p>
    <w:p>
      <w:pPr>
        <w:pStyle w:val="Normal"/>
        <w:spacing w:lineRule="auto" w:line="480"/>
        <w:rPr/>
      </w:pPr>
      <w:r>
        <w:rPr/>
        <w:tab/>
        <w:t>2.</w:t>
        <w:tab/>
        <w:t>The Comprehensive Settlement unbundles transmission rights based upon receipt point capacity and allows the trading of such rates in a secondary market.  Although the system of tradable intrastate transmission rights is not identical to that adopted for PG&amp;E in the Gas Accord, it is quite similar in function and recognizes the unique characteristics of each of the PG&amp;E and SoCalGas systems.  The ability to trade capacity rights in the secondary market is a well-recognized feature of the unbundling process; it provides liquidity to the capacity market and is an important risk management tool for both customers and marketers.</w:t>
      </w:r>
    </w:p>
    <w:p>
      <w:pPr>
        <w:pStyle w:val="Normal"/>
        <w:spacing w:lineRule="auto" w:line="480"/>
        <w:rPr/>
      </w:pPr>
      <w:r>
        <w:rPr/>
        <w:tab/>
        <w:t>3.</w:t>
        <w:tab/>
        <w:t>The Comprehensive Settlement creates a multi-stage open season process in which participation in the first and second stages  are limited to existing noncore customers to the extent of their historical loads and CTAs, subject to an overall limitation of 50% of the capacity remaining after the core reservation is accounted for at each receipt point.  Thus, customers are given priority in the open season process which, in the view of CIG/CMTA, is appropriate since these customers have been paying for the intrastate system for many years.</w:t>
      </w:r>
    </w:p>
    <w:p>
      <w:pPr>
        <w:pStyle w:val="Normal"/>
        <w:spacing w:lineRule="auto" w:line="480"/>
        <w:rPr/>
      </w:pPr>
      <w:r>
        <w:rPr/>
        <w:tab/>
        <w:t>4.</w:t>
        <w:tab/>
        <w:t>The Comprehensive Settlement provides bidders with substantial flexibility in pricing their bids for capacity.  Bidders can bid either a 100% reservation charge based upon a postage stamp rate of $.07191 per Dth or a 50% reservation charge combined with a 50% volumetric charge.  This type of rate flexibility available at the bidder’s option, in particular, allows noncore customers to choose a rate design which best suits their individual needs.  It also is important in CIG/CMTA’s view to cap the bids for capacity in the primary market based upon the cost of the transmission system.</w:t>
      </w:r>
    </w:p>
    <w:p>
      <w:pPr>
        <w:pStyle w:val="Normal"/>
        <w:spacing w:lineRule="auto" w:line="480"/>
        <w:rPr/>
      </w:pPr>
      <w:r>
        <w:rPr/>
        <w:tab/>
        <w:t>5.</w:t>
        <w:tab/>
        <w:t xml:space="preserve">The Comprehensive Settlement places SoCalGas fully at risk for recovery of its unbundled transmission costs as of October 1, 2001.  Again, this treatment is consistent with D.99-07-015 and the provisions placed into effect for PG&amp;E </w:t>
      </w:r>
      <w:r>
        <w:rPr>
          <w:i/>
        </w:rPr>
        <w:t>via</w:t>
      </w:r>
      <w:r>
        <w:rPr/>
        <w:t xml:space="preserve"> the Gas Accord.</w:t>
      </w:r>
    </w:p>
    <w:p>
      <w:pPr>
        <w:pStyle w:val="Normal"/>
        <w:spacing w:lineRule="auto" w:line="480"/>
        <w:rPr/>
      </w:pPr>
      <w:r>
        <w:rPr/>
        <w:tab/>
        <w:t>6.</w:t>
        <w:tab/>
        <w:t xml:space="preserve">The Comprehensive Settlement eliminates the windowing process and replaces it with Operational Flow Orders (OFOs).  Generally, CIG/CMTA believe that the OFO procedure will operate in a more transparent fashion and more efficiently than the current windowing procedures.  In turn, this should improve the liquidity of the gas market and enhance reliability.  </w:t>
      </w:r>
    </w:p>
    <w:p>
      <w:pPr>
        <w:pStyle w:val="Normal"/>
        <w:spacing w:lineRule="auto" w:line="480"/>
        <w:rPr/>
      </w:pPr>
      <w:r>
        <w:rPr/>
        <w:tab/>
        <w:t>7.</w:t>
        <w:tab/>
        <w:t xml:space="preserve">The Comprehensive Settlement creates firm tradable storage rights and provides for self-balancing services.  Although CIG/CMTA members generally have not availed themselves of unbundled storage services, nevertheless existence of such services is important to marketers seeking to provide competitive services to noncore customers.  Similarly, self-balancing is another tool which both customers and marketers can use to enhance and customize arrangements for their individual needs.  Electronic trading of imbalances provides another risk management tool whereby customers and marketers can mitigate financial impacts associated with imbalances without imposing burdens on the delivery systems or on other customers.  These additional features of the Comprehensive Settlement are important enhancements needed for a fully functional competitive gas market.  </w:t>
      </w:r>
    </w:p>
    <w:p>
      <w:pPr>
        <w:pStyle w:val="Normal"/>
        <w:spacing w:lineRule="auto" w:line="480"/>
        <w:rPr/>
      </w:pPr>
      <w:r>
        <w:rPr/>
        <w:tab/>
        <w:t xml:space="preserve">The foregoing represent the major provisions of the settlement which CIG/CMTA members believe will be of most value to them in arranging for natural gas supplies.  Overall, CIG/CMTA believe that adoption of the Comprehensive Settlement will constitute a major step forward in improving reliability and efficiency of transportation services for all customers in the SoCalGas service territory.  CIG/CMTA support adoption of the Comprehensive Settlement consistent with Section 1.12 of the settlement.  </w:t>
      </w:r>
    </w:p>
    <w:p>
      <w:pPr>
        <w:pStyle w:val="Normal"/>
        <w:rPr/>
      </w:pPr>
      <w:r>
        <w:rPr/>
        <w:tab/>
        <w:tab/>
        <w:tab/>
        <w:tab/>
        <w:tab/>
        <w:tab/>
        <w:t>Respectfully submitted,</w:t>
      </w:r>
    </w:p>
    <w:p>
      <w:pPr>
        <w:pStyle w:val="Normal"/>
        <w:rPr/>
      </w:pPr>
      <w:r>
        <w:rPr/>
      </w:r>
    </w:p>
    <w:p>
      <w:pPr>
        <w:pStyle w:val="Normal"/>
        <w:rPr/>
      </w:pPr>
      <w:r>
        <w:rPr/>
      </w:r>
    </w:p>
    <w:p>
      <w:pPr>
        <w:pStyle w:val="Normal"/>
        <w:rPr/>
      </w:pPr>
      <w:r>
        <w:rPr/>
        <w:tab/>
        <w:tab/>
        <w:tab/>
        <w:tab/>
        <w:tab/>
        <w:tab/>
        <w:t>__________________________________</w:t>
      </w:r>
    </w:p>
    <w:p>
      <w:pPr>
        <w:pStyle w:val="Normal"/>
        <w:rPr/>
      </w:pPr>
      <w:r>
        <w:rPr/>
        <w:tab/>
        <w:tab/>
        <w:tab/>
        <w:tab/>
        <w:tab/>
        <w:tab/>
        <w:t>Keith R. McCrea</w:t>
      </w:r>
    </w:p>
    <w:p>
      <w:pPr>
        <w:pStyle w:val="Normal"/>
        <w:rPr/>
      </w:pPr>
      <w:r>
        <w:rPr/>
        <w:tab/>
        <w:tab/>
        <w:tab/>
        <w:tab/>
        <w:tab/>
        <w:tab/>
      </w:r>
      <w:r>
        <w:rPr>
          <w:smallCaps/>
        </w:rPr>
        <w:t>Sutherland Asbill &amp; Brennan LLP</w:t>
      </w:r>
    </w:p>
    <w:p>
      <w:pPr>
        <w:pStyle w:val="Footer"/>
        <w:tabs>
          <w:tab w:val="clear" w:pos="4320"/>
          <w:tab w:val="clear" w:pos="8640"/>
        </w:tabs>
        <w:rPr>
          <w:rFonts w:ascii="Times New Roman" w:hAnsi="Times New Roman" w:cs="Times New Roman"/>
        </w:rPr>
      </w:pPr>
      <w:r>
        <w:rPr>
          <w:rFonts w:cs="Times New Roman" w:ascii="Times New Roman" w:hAnsi="Times New Roman"/>
        </w:rPr>
        <w:tab/>
        <w:tab/>
        <w:tab/>
        <w:tab/>
        <w:tab/>
        <w:tab/>
        <w:t>1275 Pennsylvania Avenue, N.W.</w:t>
      </w:r>
    </w:p>
    <w:p>
      <w:pPr>
        <w:pStyle w:val="Normal"/>
        <w:rPr/>
      </w:pPr>
      <w:r>
        <w:rPr/>
        <w:tab/>
        <w:tab/>
        <w:tab/>
        <w:tab/>
        <w:tab/>
        <w:tab/>
        <w:t>Washington, D.C.  20004</w:t>
      </w:r>
    </w:p>
    <w:p>
      <w:pPr>
        <w:pStyle w:val="Normal"/>
        <w:rPr/>
      </w:pPr>
      <w:r>
        <w:rPr/>
        <w:tab/>
        <w:tab/>
        <w:tab/>
        <w:tab/>
        <w:tab/>
        <w:tab/>
        <w:t>(202) 383-0100</w:t>
      </w:r>
    </w:p>
    <w:p>
      <w:pPr>
        <w:pStyle w:val="Normal"/>
        <w:rPr/>
      </w:pPr>
      <w:r>
        <w:rPr/>
        <w:tab/>
        <w:tab/>
        <w:tab/>
        <w:tab/>
        <w:tab/>
        <w:tab/>
        <w:t>kmccrea@sablaw.com</w:t>
      </w:r>
    </w:p>
    <w:p>
      <w:pPr>
        <w:pStyle w:val="Normal"/>
        <w:rPr/>
      </w:pPr>
      <w:r>
        <w:rPr/>
      </w:r>
    </w:p>
    <w:p>
      <w:pPr>
        <w:pStyle w:val="Normal"/>
        <w:rPr/>
      </w:pPr>
      <w:r>
        <w:rPr/>
        <w:tab/>
        <w:tab/>
      </w:r>
      <w:r>
        <w:rPr>
          <w:i/>
          <w:sz w:val="22"/>
        </w:rPr>
        <w:tab/>
        <w:tab/>
        <w:tab/>
        <w:tab/>
        <w:t>Attorney for the</w:t>
      </w:r>
    </w:p>
    <w:p>
      <w:pPr>
        <w:pStyle w:val="Normal"/>
        <w:rPr>
          <w:i/>
          <w:i/>
          <w:sz w:val="22"/>
        </w:rPr>
      </w:pPr>
      <w:r>
        <w:rPr>
          <w:i/>
          <w:sz w:val="22"/>
        </w:rPr>
        <w:tab/>
        <w:tab/>
        <w:tab/>
        <w:tab/>
        <w:tab/>
        <w:tab/>
        <w:t>California Industrial Group and</w:t>
      </w:r>
    </w:p>
    <w:p>
      <w:pPr>
        <w:pStyle w:val="Normal"/>
        <w:rPr>
          <w:i/>
          <w:i/>
          <w:sz w:val="22"/>
        </w:rPr>
      </w:pPr>
      <w:r>
        <w:rPr>
          <w:i/>
          <w:sz w:val="22"/>
        </w:rPr>
        <w:tab/>
        <w:tab/>
        <w:tab/>
        <w:tab/>
        <w:tab/>
        <w:tab/>
        <w:t>California Manufacturers &amp; Technology Association</w:t>
      </w:r>
    </w:p>
    <w:p>
      <w:pPr>
        <w:pStyle w:val="Normal"/>
        <w:rPr>
          <w:i/>
          <w:i/>
          <w:sz w:val="22"/>
        </w:rPr>
      </w:pPr>
      <w:r>
        <w:rPr>
          <w:i/>
          <w:sz w:val="22"/>
        </w:rPr>
      </w:r>
    </w:p>
    <w:p>
      <w:pPr>
        <w:pStyle w:val="Normal"/>
        <w:rPr/>
      </w:pPr>
      <w:r>
        <w:rPr/>
      </w:r>
    </w:p>
    <w:p>
      <w:pPr>
        <w:pStyle w:val="Normal"/>
        <w:rPr/>
      </w:pPr>
      <w:r>
        <w:rPr/>
        <w:t>July 7, 2000</w:t>
      </w:r>
    </w:p>
    <w:p>
      <w:pPr>
        <w:pStyle w:val="Normal"/>
        <w:rPr/>
      </w:pPr>
      <w:r>
        <w:rPr/>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rPr/>
      </w:pPr>
      <w:r>
        <w:rPr/>
      </w:r>
    </w:p>
    <w:p>
      <w:pPr>
        <w:pStyle w:val="Normal"/>
        <w:jc w:val="both"/>
        <w:rPr/>
      </w:pPr>
      <w:r>
        <w:rPr/>
      </w:r>
    </w:p>
    <w:p>
      <w:pPr>
        <w:pStyle w:val="Normal"/>
        <w:jc w:val="center"/>
        <w:rPr>
          <w:rFonts w:ascii="Dutch Roman 12pt" w:hAnsi="Dutch Roman 12pt" w:cs="Dutch Roman 12pt"/>
        </w:rPr>
      </w:pPr>
      <w:r>
        <w:rPr>
          <w:b/>
        </w:rPr>
        <w:t>CERTIFICATE OF SERVICE</w:t>
      </w:r>
    </w:p>
    <w:p>
      <w:pPr>
        <w:pStyle w:val="Normal"/>
        <w:jc w:val="both"/>
        <w:rPr>
          <w:rFonts w:ascii="Dutch Roman 12pt" w:hAnsi="Dutch Roman 12pt" w:cs="Dutch Roman 12pt"/>
        </w:rPr>
      </w:pPr>
      <w:r>
        <w:rPr>
          <w:rFonts w:cs="Dutch Roman 12pt" w:ascii="Dutch Roman 12pt" w:hAnsi="Dutch Roman 12pt"/>
        </w:rPr>
      </w:r>
    </w:p>
    <w:p>
      <w:pPr>
        <w:pStyle w:val="Normal"/>
        <w:spacing w:lineRule="atLeast" w:line="480"/>
        <w:jc w:val="both"/>
        <w:rPr/>
      </w:pPr>
      <w:r>
        <w:rPr>
          <w:rFonts w:cs="Dutch Roman 12pt" w:ascii="Dutch Roman 12pt" w:hAnsi="Dutch Roman 12pt"/>
        </w:rPr>
        <w:tab/>
        <w:t xml:space="preserve">I hereby certify that I have this day served a copy of the foregoing "Opening Brief of the California Industrial Group and </w:t>
      </w:r>
      <w:r>
        <w:rPr/>
        <w:t>California Manufacturers &amp; Technology Association”</w:t>
      </w:r>
      <w:r>
        <w:rPr>
          <w:rFonts w:cs="Dutch Roman 12pt" w:ascii="Dutch Roman 12pt" w:hAnsi="Dutch Roman 12pt"/>
        </w:rPr>
        <w:t xml:space="preserve"> on each person designated on the official service list compiled in this proceeding.</w:t>
      </w:r>
    </w:p>
    <w:p>
      <w:pPr>
        <w:pStyle w:val="Normal"/>
        <w:spacing w:lineRule="atLeast" w:line="480"/>
        <w:jc w:val="both"/>
        <w:rPr>
          <w:rFonts w:ascii="Dutch Roman 12pt" w:hAnsi="Dutch Roman 12pt" w:cs="Dutch Roman 12pt"/>
        </w:rPr>
      </w:pPr>
      <w:r>
        <w:rPr>
          <w:rFonts w:cs="Dutch Roman 12pt" w:ascii="Dutch Roman 12pt" w:hAnsi="Dutch Roman 12pt"/>
        </w:rPr>
        <w:tab/>
        <w:t>Dated at Washington, D.C. this 7th day of July, 2000.</w:t>
      </w:r>
    </w:p>
    <w:p>
      <w:pPr>
        <w:pStyle w:val="Normal"/>
        <w:spacing w:lineRule="atLeast" w:line="480"/>
        <w:jc w:val="both"/>
        <w:rPr>
          <w:rFonts w:ascii="Dutch Roman 12pt" w:hAnsi="Dutch Roman 12pt" w:cs="Dutch Roman 12pt"/>
        </w:rPr>
      </w:pPr>
      <w:r>
        <w:rPr>
          <w:rFonts w:cs="Dutch Roman 12pt" w:ascii="Dutch Roman 12pt" w:hAnsi="Dutch Roman 12pt"/>
        </w:rPr>
      </w:r>
    </w:p>
    <w:p>
      <w:pPr>
        <w:pStyle w:val="Normal"/>
        <w:spacing w:lineRule="atLeast" w:line="480"/>
        <w:jc w:val="both"/>
        <w:rPr>
          <w:rFonts w:ascii="Dutch Roman 12pt" w:hAnsi="Dutch Roman 12pt" w:cs="Dutch Roman 12pt"/>
          <w:u w:val="single"/>
        </w:rPr>
      </w:pPr>
      <w:r>
        <w:rPr>
          <w:rFonts w:cs="Dutch Roman 12pt" w:ascii="Dutch Roman 12pt" w:hAnsi="Dutch Roman 12pt"/>
          <w:u w:val="single"/>
        </w:rPr>
      </w:r>
    </w:p>
    <w:p>
      <w:pPr>
        <w:pStyle w:val="Normal"/>
        <w:spacing w:lineRule="atLeast" w:line="480"/>
        <w:jc w:val="both"/>
        <w:rPr>
          <w:rFonts w:ascii="Dutch Roman 12pt" w:hAnsi="Dutch Roman 12pt" w:cs="Dutch Roman 12pt"/>
        </w:rPr>
      </w:pPr>
      <w:r>
        <w:rPr>
          <w:rFonts w:cs="Dutch Roman 12pt" w:ascii="Dutch Roman 12pt" w:hAnsi="Dutch Roman 12pt"/>
        </w:rPr>
        <w:tab/>
        <w:tab/>
        <w:tab/>
        <w:tab/>
        <w:tab/>
        <w:tab/>
        <w:tab/>
        <w:t>______________________________</w:t>
        <w:br/>
        <w:tab/>
        <w:tab/>
        <w:tab/>
        <w:tab/>
        <w:tab/>
        <w:tab/>
        <w:tab/>
        <w:t>Jody Smith</w:t>
      </w:r>
    </w:p>
    <w:p>
      <w:pPr>
        <w:pStyle w:val="Normal"/>
        <w:spacing w:lineRule="atLeast" w:line="480"/>
        <w:jc w:val="both"/>
        <w:rPr>
          <w:rFonts w:ascii="Dutch Roman 12pt" w:hAnsi="Dutch Roman 12pt" w:cs="Dutch Roman 12pt"/>
        </w:rPr>
      </w:pPr>
      <w:r>
        <w:rPr>
          <w:rFonts w:cs="Dutch Roman 12pt" w:ascii="Dutch Roman 12pt" w:hAnsi="Dutch Roman 12pt"/>
        </w:rPr>
      </w:r>
    </w:p>
    <w:p>
      <w:pPr>
        <w:pStyle w:val="Normal"/>
        <w:spacing w:lineRule="atLeast" w:line="480"/>
        <w:jc w:val="both"/>
        <w:rPr>
          <w:rFonts w:ascii="Dutch Roman 12pt" w:hAnsi="Dutch Roman 12pt" w:cs="Dutch Roman 12pt"/>
        </w:rPr>
      </w:pPr>
      <w:r>
        <w:rPr>
          <w:rFonts w:cs="Dutch Roman 12pt" w:ascii="Dutch Roman 12pt" w:hAnsi="Dutch Roman 12pt"/>
        </w:rPr>
      </w:r>
    </w:p>
    <w:p>
      <w:pPr>
        <w:pStyle w:val="Normal"/>
        <w:spacing w:lineRule="atLeast" w:line="480"/>
        <w:jc w:val="both"/>
        <w:rPr>
          <w:rFonts w:ascii="Dutch Roman 12pt" w:hAnsi="Dutch Roman 12pt" w:cs="Dutch Roman 12pt"/>
        </w:rPr>
      </w:pPr>
      <w:r>
        <w:rPr>
          <w:rFonts w:cs="Dutch Roman 12pt" w:ascii="Dutch Roman 12pt" w:hAnsi="Dutch Roman 12pt"/>
        </w:rPr>
      </w:r>
    </w:p>
    <w:p>
      <w:pPr>
        <w:pStyle w:val="Normal"/>
        <w:rPr>
          <w:rFonts w:ascii="Dutch Roman 12pt" w:hAnsi="Dutch Roman 12pt" w:cs="Dutch Roman 12pt"/>
        </w:rPr>
      </w:pPr>
      <w:r>
        <w:rPr>
          <w:rFonts w:cs="Dutch Roman 12pt" w:ascii="Dutch Roman 12pt" w:hAnsi="Dutch Roman 12pt"/>
        </w:rPr>
      </w:r>
    </w:p>
    <w:sectPr>
      <w:footerReference w:type="default" r:id="rId6"/>
      <w:footerReference w:type="first" r:id="rId7"/>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Dutch Roman 12p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ourier New" w:hAnsi="Courier New" w:cs="Courier New"/>
    </w:rPr>
  </w:style>
  <w:style w:type="paragraph" w:styleId="BodyText2">
    <w:name w:val="Body Text 2"/>
    <w:basedOn w:val="Normal"/>
    <w:qFormat/>
    <w:pPr>
      <w:ind w:hanging="0" w:start="720" w:end="0"/>
    </w:pPr>
    <w:rPr>
      <w:rFonts w:ascii="Arial" w:hAnsi="Arial" w:cs="Arial"/>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2000-07-07T09:36:00Z</dcterms:created>
  <dc:creator>SAB</dc:creator>
  <dc:description/>
  <dc:language>en-CA</dc:language>
  <cp:lastModifiedBy>SAB</cp:lastModifiedBy>
  <cp:lastPrinted>2000-07-07T11:11:00Z</cp:lastPrinted>
  <dcterms:modified xsi:type="dcterms:W3CDTF">2000-07-07T12:54:00Z</dcterms:modified>
  <cp:revision>8</cp:revision>
  <dc:subject/>
  <dc:title>BEFORE THE PUBLIC UTILITIES COMMISSION</dc:title>
</cp:coreProperties>
</file>