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8"/>
        </w:rPr>
      </w:pPr>
      <w:r>
        <w:rPr>
          <w:sz w:val="28"/>
        </w:rPr>
        <w:t xml:space="preserve">CORPORATE SPONSORSHIP OPPORTUNITIES AT WHARTON </w:t>
      </w:r>
    </w:p>
    <w:p>
      <w:pPr>
        <w:pStyle w:val="Heading7"/>
        <w:ind w:hanging="0" w:start="0"/>
        <w:rPr/>
      </w:pPr>
      <w:r>
        <w:rPr/>
        <w:t>Academic Year 2000-01</w:t>
      </w:r>
    </w:p>
    <w:p>
      <w:pPr>
        <w:pStyle w:val="Normal"/>
        <w:rPr>
          <w:rFonts w:ascii="Garamond" w:hAnsi="Garamond" w:cs="Garamond"/>
          <w:b/>
          <w:sz w:val="28"/>
          <w:u w:val="single"/>
        </w:rPr>
      </w:pPr>
      <w:r>
        <w:rPr>
          <w:rFonts w:cs="Garamond" w:ascii="Garamond" w:hAnsi="Garamond"/>
          <w:b/>
          <w:sz w:val="28"/>
          <w:u w:val="single"/>
        </w:rPr>
      </w:r>
    </w:p>
    <w:p>
      <w:pPr>
        <w:pStyle w:val="Normal"/>
        <w:rPr>
          <w:rFonts w:ascii="Garamond" w:hAnsi="Garamond" w:cs="Garamond"/>
          <w:b/>
          <w:sz w:val="28"/>
          <w:u w:val="single"/>
        </w:rPr>
      </w:pPr>
      <w:r>
        <w:rPr>
          <w:rFonts w:cs="Garamond" w:ascii="Garamond" w:hAnsi="Garamond"/>
          <w:b/>
          <w:sz w:val="28"/>
          <w:u w:val="single"/>
        </w:rPr>
        <w:t>I. STUDENT CONFERENCES</w:t>
      </w:r>
    </w:p>
    <w:p>
      <w:pPr>
        <w:pStyle w:val="Normal"/>
        <w:rPr>
          <w:rFonts w:ascii="Garamond" w:hAnsi="Garamond" w:cs="Garamond"/>
          <w:b/>
          <w:sz w:val="24"/>
        </w:rPr>
      </w:pPr>
      <w:r>
        <w:rPr>
          <w:rFonts w:cs="Garamond" w:ascii="Garamond" w:hAnsi="Garamond"/>
          <w:b/>
          <w:sz w:val="24"/>
        </w:rPr>
        <w:tab/>
      </w:r>
    </w:p>
    <w:p>
      <w:pPr>
        <w:pStyle w:val="Normal"/>
        <w:rPr/>
      </w:pPr>
      <w:r>
        <w:rPr>
          <w:rFonts w:cs="Garamond" w:ascii="Garamond" w:hAnsi="Garamond"/>
          <w:b/>
          <w:i/>
          <w:sz w:val="28"/>
        </w:rPr>
        <w:t xml:space="preserve">Wharton’s Global Business Forum – </w:t>
      </w:r>
      <w:r>
        <w:rPr>
          <w:rFonts w:cs="Garamond" w:ascii="Garamond" w:hAnsi="Garamond"/>
          <w:i/>
          <w:sz w:val="28"/>
        </w:rPr>
        <w:t>For the past five years, Wharton’s six international student-run conferences have provided a forum for global business leaders, government and non-governmental leaders, students, alumni and educators to exchange ideas regarding current economic, political and social trends shaping the regional and global economy.  The creation of the Wharton Global Business Forum (WGBF), scheduled to be held on November 16-18, 2000, represents a joint effort by the established international conferences (European Conference, India Economic Forum, Asian Finance Conference, and Latin American Conference) and two evolving conferences (African States Conference and Conference of Independent States) to demonstrate the growing interest of Wharton students in international affairs and business.</w:t>
      </w:r>
    </w:p>
    <w:p>
      <w:pPr>
        <w:pStyle w:val="Normal"/>
        <w:rPr>
          <w:rFonts w:ascii="Garamond" w:hAnsi="Garamond" w:cs="Garamond"/>
          <w:i/>
          <w:i/>
          <w:sz w:val="28"/>
        </w:rPr>
      </w:pPr>
      <w:r>
        <w:rPr>
          <w:rFonts w:cs="Garamond" w:ascii="Garamond" w:hAnsi="Garamond"/>
          <w:i/>
          <w:sz w:val="28"/>
        </w:rPr>
      </w:r>
    </w:p>
    <w:p>
      <w:pPr>
        <w:pStyle w:val="Heading6"/>
        <w:ind w:hanging="0" w:start="0"/>
        <w:rPr>
          <w:b/>
          <w:sz w:val="28"/>
        </w:rPr>
      </w:pPr>
      <w:r>
        <w:rPr>
          <w:b/>
          <w:sz w:val="28"/>
        </w:rPr>
        <w:t>Additional Conference Series 2000-2001</w:t>
      </w:r>
    </w:p>
    <w:p>
      <w:pPr>
        <w:pStyle w:val="Normal"/>
        <w:rPr>
          <w:rFonts w:ascii="Garamond" w:hAnsi="Garamond" w:cs="Garamond"/>
          <w:b/>
          <w:i/>
          <w:i/>
          <w:sz w:val="24"/>
        </w:rPr>
      </w:pPr>
      <w:r>
        <w:rPr>
          <w:rFonts w:cs="Garamond" w:ascii="Garamond" w:hAnsi="Garamond"/>
          <w:b/>
          <w:i/>
          <w:sz w:val="24"/>
        </w:rPr>
      </w:r>
    </w:p>
    <w:p>
      <w:pPr>
        <w:pStyle w:val="Normal"/>
        <w:rPr/>
      </w:pPr>
      <w:r>
        <w:rPr>
          <w:rFonts w:cs="Garamond" w:ascii="Garamond" w:hAnsi="Garamond"/>
          <w:b/>
          <w:i/>
          <w:sz w:val="24"/>
        </w:rPr>
        <w:t>Investment Management</w:t>
      </w:r>
      <w:r>
        <w:rPr>
          <w:rFonts w:cs="Garamond" w:ascii="Garamond" w:hAnsi="Garamond"/>
          <w:sz w:val="24"/>
        </w:rPr>
        <w:t xml:space="preserve"> – Five-star money managers, CEOs and hot hand analysts discuss investing strategies and market outlooks. Date:  November 3, 2000.</w:t>
      </w:r>
    </w:p>
    <w:p>
      <w:pPr>
        <w:pStyle w:val="Normal"/>
        <w:rPr/>
      </w:pPr>
      <w:r>
        <w:rPr>
          <w:rFonts w:cs="Garamond" w:ascii="Garamond" w:hAnsi="Garamond"/>
          <w:b/>
          <w:i/>
          <w:sz w:val="24"/>
        </w:rPr>
        <w:t>Entrepreneurship</w:t>
      </w:r>
      <w:r>
        <w:rPr>
          <w:rFonts w:cs="Garamond" w:ascii="Garamond" w:hAnsi="Garamond"/>
          <w:sz w:val="24"/>
        </w:rPr>
        <w:t xml:space="preserve"> – Established as a forum for students, alumni, faculty and professionals, the conference creates a context for discussion about challenges facing entrepreneurs in the next millennium.  Date:  November 30</w:t>
      </w:r>
      <w:r>
        <w:rPr>
          <w:rFonts w:cs="Garamond" w:ascii="Garamond" w:hAnsi="Garamond"/>
          <w:sz w:val="24"/>
          <w:vertAlign w:val="superscript"/>
        </w:rPr>
        <w:t>th</w:t>
      </w:r>
      <w:r>
        <w:rPr>
          <w:rFonts w:cs="Garamond" w:ascii="Garamond" w:hAnsi="Garamond"/>
          <w:sz w:val="24"/>
        </w:rPr>
        <w:t xml:space="preserve"> – December 1</w:t>
      </w:r>
      <w:r>
        <w:rPr>
          <w:rFonts w:cs="Garamond" w:ascii="Garamond" w:hAnsi="Garamond"/>
          <w:sz w:val="24"/>
          <w:vertAlign w:val="superscript"/>
        </w:rPr>
        <w:t>st</w:t>
      </w:r>
      <w:r>
        <w:rPr>
          <w:rFonts w:cs="Garamond" w:ascii="Garamond" w:hAnsi="Garamond"/>
          <w:sz w:val="24"/>
        </w:rPr>
        <w:t xml:space="preserve"> 2000.</w:t>
      </w:r>
    </w:p>
    <w:p>
      <w:pPr>
        <w:pStyle w:val="Normal"/>
        <w:rPr/>
      </w:pPr>
      <w:r>
        <w:rPr>
          <w:rFonts w:cs="Garamond" w:ascii="Garamond" w:hAnsi="Garamond"/>
          <w:b/>
          <w:i/>
          <w:sz w:val="24"/>
        </w:rPr>
        <w:t xml:space="preserve">Finance </w:t>
      </w:r>
      <w:r>
        <w:rPr>
          <w:rFonts w:cs="Garamond" w:ascii="Garamond" w:hAnsi="Garamond"/>
          <w:sz w:val="24"/>
        </w:rPr>
        <w:t>- Leaders in business, government and academia lend their perspectives on the opportunities, trends and forces affecting the financial markets. Date: December 8</w:t>
      </w:r>
      <w:r>
        <w:rPr>
          <w:rFonts w:cs="Garamond" w:ascii="Garamond" w:hAnsi="Garamond"/>
          <w:sz w:val="24"/>
          <w:vertAlign w:val="superscript"/>
        </w:rPr>
        <w:t>th</w:t>
      </w:r>
      <w:r>
        <w:rPr>
          <w:rFonts w:cs="Garamond" w:ascii="Garamond" w:hAnsi="Garamond"/>
          <w:sz w:val="24"/>
        </w:rPr>
        <w:t>, 2000.</w:t>
      </w:r>
    </w:p>
    <w:p>
      <w:pPr>
        <w:pStyle w:val="Normal"/>
        <w:rPr/>
      </w:pPr>
      <w:r>
        <w:rPr>
          <w:rFonts w:cs="Garamond" w:ascii="Garamond" w:hAnsi="Garamond"/>
          <w:b/>
          <w:i/>
          <w:sz w:val="24"/>
        </w:rPr>
        <w:t>Whitney M. Young, Jr</w:t>
      </w:r>
      <w:r>
        <w:rPr>
          <w:rFonts w:cs="Garamond" w:ascii="Garamond" w:hAnsi="Garamond"/>
          <w:i/>
          <w:sz w:val="24"/>
        </w:rPr>
        <w:t>.</w:t>
      </w:r>
      <w:r>
        <w:rPr>
          <w:rFonts w:cs="Garamond" w:ascii="Garamond" w:hAnsi="Garamond"/>
          <w:sz w:val="24"/>
        </w:rPr>
        <w:t xml:space="preserve"> – Sponsored by Wharton’s African-American MBA Association, this conference provides a forum to highlight African-American achievement and opportunity in business, industry and entrepreneurship. Date: January 19</w:t>
      </w:r>
      <w:r>
        <w:rPr>
          <w:rFonts w:cs="Garamond" w:ascii="Garamond" w:hAnsi="Garamond"/>
          <w:sz w:val="24"/>
          <w:vertAlign w:val="superscript"/>
        </w:rPr>
        <w:t>th</w:t>
      </w:r>
      <w:r>
        <w:rPr>
          <w:rFonts w:cs="Garamond" w:ascii="Garamond" w:hAnsi="Garamond"/>
          <w:sz w:val="24"/>
        </w:rPr>
        <w:t xml:space="preserve"> – January 20</w:t>
      </w:r>
      <w:r>
        <w:rPr>
          <w:rFonts w:cs="Garamond" w:ascii="Garamond" w:hAnsi="Garamond"/>
          <w:sz w:val="24"/>
          <w:vertAlign w:val="superscript"/>
        </w:rPr>
        <w:t>th</w:t>
      </w:r>
      <w:r>
        <w:rPr>
          <w:rFonts w:cs="Garamond" w:ascii="Garamond" w:hAnsi="Garamond"/>
          <w:sz w:val="24"/>
        </w:rPr>
        <w:t>, 2001.</w:t>
      </w:r>
    </w:p>
    <w:p>
      <w:pPr>
        <w:pStyle w:val="Normal"/>
        <w:rPr/>
      </w:pPr>
      <w:r>
        <w:rPr>
          <w:rFonts w:cs="Garamond" w:ascii="Garamond" w:hAnsi="Garamond"/>
          <w:b/>
          <w:i/>
          <w:sz w:val="24"/>
        </w:rPr>
        <w:t>Private Equity</w:t>
      </w:r>
      <w:r>
        <w:rPr>
          <w:rFonts w:cs="Garamond" w:ascii="Garamond" w:hAnsi="Garamond"/>
          <w:sz w:val="24"/>
        </w:rPr>
        <w:t xml:space="preserve"> – A dynamic symposium allowing Wharton students, faculty and industry leaders to discuss recent trends and emerging issues in the financial buyer and venture capital industries. Date:  January 26, 2001.</w:t>
      </w:r>
    </w:p>
    <w:p>
      <w:pPr>
        <w:pStyle w:val="Normal"/>
        <w:rPr/>
      </w:pPr>
      <w:r>
        <w:rPr>
          <w:rFonts w:cs="Garamond" w:ascii="Garamond" w:hAnsi="Garamond"/>
          <w:b/>
          <w:i/>
          <w:sz w:val="24"/>
        </w:rPr>
        <w:t>Technology/Media &amp; Entertainment</w:t>
      </w:r>
      <w:r>
        <w:rPr>
          <w:rFonts w:cs="Garamond" w:ascii="Garamond" w:hAnsi="Garamond"/>
          <w:sz w:val="24"/>
        </w:rPr>
        <w:t xml:space="preserve"> – This conference brings together prominent leaders to address challenges facing Internet companies, the high-tech industry and the media &amp; entertainment industry.  Date:  February 15</w:t>
      </w:r>
      <w:r>
        <w:rPr>
          <w:rFonts w:cs="Garamond" w:ascii="Garamond" w:hAnsi="Garamond"/>
          <w:sz w:val="24"/>
          <w:vertAlign w:val="superscript"/>
        </w:rPr>
        <w:t>th</w:t>
      </w:r>
      <w:r>
        <w:rPr>
          <w:rFonts w:cs="Garamond" w:ascii="Garamond" w:hAnsi="Garamond"/>
          <w:sz w:val="24"/>
        </w:rPr>
        <w:t xml:space="preserve"> – February 16</w:t>
      </w:r>
      <w:r>
        <w:rPr>
          <w:rFonts w:cs="Garamond" w:ascii="Garamond" w:hAnsi="Garamond"/>
          <w:sz w:val="24"/>
          <w:vertAlign w:val="superscript"/>
        </w:rPr>
        <w:t>th</w:t>
      </w:r>
      <w:r>
        <w:rPr>
          <w:rFonts w:cs="Garamond" w:ascii="Garamond" w:hAnsi="Garamond"/>
          <w:sz w:val="24"/>
        </w:rPr>
        <w:t>, 2001.</w:t>
      </w:r>
    </w:p>
    <w:p>
      <w:pPr>
        <w:pStyle w:val="Normal"/>
        <w:rPr/>
      </w:pPr>
      <w:r>
        <w:rPr>
          <w:rFonts w:cs="Garamond" w:ascii="Garamond" w:hAnsi="Garamond"/>
          <w:b/>
          <w:i/>
          <w:sz w:val="24"/>
        </w:rPr>
        <w:t>New Ventures in Health Care</w:t>
      </w:r>
      <w:r>
        <w:rPr>
          <w:rFonts w:cs="Garamond" w:ascii="Garamond" w:hAnsi="Garamond"/>
          <w:sz w:val="24"/>
        </w:rPr>
        <w:t xml:space="preserve"> – In a lively forum, participants engage each other on key issues and changing dynamics within the pharmaceutical, biotechnology and medical device industries.  Date:  April 12</w:t>
      </w:r>
      <w:r>
        <w:rPr>
          <w:rFonts w:cs="Garamond" w:ascii="Garamond" w:hAnsi="Garamond"/>
          <w:sz w:val="24"/>
          <w:vertAlign w:val="superscript"/>
        </w:rPr>
        <w:t>th</w:t>
      </w:r>
      <w:r>
        <w:rPr>
          <w:rFonts w:cs="Garamond" w:ascii="Garamond" w:hAnsi="Garamond"/>
          <w:sz w:val="24"/>
        </w:rPr>
        <w:t xml:space="preserve"> – April 13</w:t>
      </w:r>
      <w:r>
        <w:rPr>
          <w:rFonts w:cs="Garamond" w:ascii="Garamond" w:hAnsi="Garamond"/>
          <w:sz w:val="24"/>
          <w:vertAlign w:val="superscript"/>
        </w:rPr>
        <w:t>th</w:t>
      </w:r>
      <w:r>
        <w:rPr>
          <w:rFonts w:cs="Garamond" w:ascii="Garamond" w:hAnsi="Garamond"/>
          <w:sz w:val="24"/>
        </w:rPr>
        <w:t>, 2001.</w:t>
      </w:r>
    </w:p>
    <w:p>
      <w:pPr>
        <w:pStyle w:val="Normal"/>
        <w:rPr>
          <w:rFonts w:ascii="Garamond" w:hAnsi="Garamond" w:cs="Garamond"/>
          <w:sz w:val="24"/>
        </w:rPr>
      </w:pPr>
      <w:r>
        <w:rPr>
          <w:rFonts w:cs="Garamond" w:ascii="Garamond" w:hAnsi="Garamond"/>
          <w:sz w:val="24"/>
        </w:rPr>
      </w:r>
    </w:p>
    <w:p>
      <w:pPr>
        <w:pStyle w:val="Heading6"/>
        <w:shd w:fill="F2F2F2" w:val="clear"/>
        <w:ind w:hanging="0" w:start="0"/>
        <w:rPr>
          <w:rFonts w:ascii="Garamond" w:hAnsi="Garamond" w:cs="Garamond"/>
          <w:b/>
          <w:sz w:val="24"/>
        </w:rPr>
      </w:pPr>
      <w:r>
        <w:rPr>
          <w:rFonts w:cs="Garamond"/>
          <w:b/>
          <w:sz w:val="24"/>
        </w:rPr>
      </w:r>
    </w:p>
    <w:p>
      <w:pPr>
        <w:pStyle w:val="Heading6"/>
        <w:shd w:fill="F2F2F2" w:val="clear"/>
        <w:ind w:hanging="0" w:start="0"/>
        <w:rPr/>
      </w:pPr>
      <w:r>
        <w:rPr>
          <w:b/>
        </w:rPr>
        <w:t>For more information about the Global Business Forum or other student conferences, please contact Amy Orlov, Director of Graduate Student Affairs at 215-898-4968 (</w:t>
      </w:r>
      <w:hyperlink r:id="rId2">
        <w:r>
          <w:rPr>
            <w:rStyle w:val="Hyperlink"/>
            <w:b/>
          </w:rPr>
          <w:t>Orlova@wharton.upenn.edu</w:t>
        </w:r>
      </w:hyperlink>
      <w:r>
        <w:rPr>
          <w:b/>
        </w:rPr>
        <w:t>) OR your manager in the Corporate and Foundation Relations Office.</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b/>
          <w:sz w:val="28"/>
        </w:rPr>
      </w:pPr>
      <w:r>
        <w:rPr>
          <w:rFonts w:cs="Garamond" w:ascii="Garamond" w:hAnsi="Garamond"/>
          <w:b/>
          <w:sz w:val="28"/>
        </w:rPr>
        <w:t>II.  MBA CAREER MANAGEMENT HIGH-GROWTH TREKS</w:t>
      </w:r>
    </w:p>
    <w:p>
      <w:pPr>
        <w:pStyle w:val="Normal"/>
        <w:jc w:val="both"/>
        <w:rPr>
          <w:rFonts w:ascii="Garamond" w:hAnsi="Garamond" w:cs="Garamond"/>
          <w:b/>
          <w:sz w:val="24"/>
          <w:u w:val="single"/>
        </w:rPr>
      </w:pPr>
      <w:r>
        <w:rPr>
          <w:rFonts w:cs="Garamond" w:ascii="Garamond" w:hAnsi="Garamond"/>
          <w:b/>
          <w:sz w:val="24"/>
          <w:u w:val="single"/>
        </w:rPr>
      </w:r>
    </w:p>
    <w:p>
      <w:pPr>
        <w:pStyle w:val="BodyText"/>
        <w:jc w:val="start"/>
        <w:rPr/>
      </w:pPr>
      <w:r>
        <w:rPr>
          <w:b/>
          <w:sz w:val="28"/>
        </w:rPr>
        <w:t>High-Growth Career Treks</w:t>
      </w:r>
      <w:r>
        <w:rPr>
          <w:sz w:val="28"/>
        </w:rPr>
        <w:t xml:space="preserve"> – In 1999-2000, MBA Career Management and selected Wharton Professional Student Clubs launched High Growth Career Treks. Treks are location specific programs in which students attend pre-arranged two-hour information sessions hosted by a variety of high growth companies.  The primary purpose of the Trek Program is to help introduce students to various opportunities in high growth sectors. Students and alumni are able to meet, network and discuss the exciting evolution of the high growth industry.</w:t>
      </w:r>
    </w:p>
    <w:p>
      <w:pPr>
        <w:pStyle w:val="BodyText"/>
        <w:rPr>
          <w:sz w:val="28"/>
        </w:rPr>
      </w:pPr>
      <w:r>
        <w:rPr>
          <w:sz w:val="28"/>
        </w:rPr>
      </w:r>
    </w:p>
    <w:p>
      <w:pPr>
        <w:pStyle w:val="BodyText"/>
        <w:rPr>
          <w:b/>
          <w:i w:val="false"/>
          <w:i w:val="false"/>
          <w:sz w:val="28"/>
          <w:u w:val="single"/>
        </w:rPr>
      </w:pPr>
      <w:r>
        <w:rPr>
          <w:b/>
          <w:i w:val="false"/>
          <w:sz w:val="28"/>
          <w:u w:val="single"/>
        </w:rPr>
        <w:t>OPPORTUNITIES</w:t>
      </w:r>
    </w:p>
    <w:p>
      <w:pPr>
        <w:pStyle w:val="BodyText"/>
        <w:rPr>
          <w:b/>
          <w:i w:val="false"/>
          <w:i w:val="false"/>
          <w:sz w:val="28"/>
          <w:u w:val="single"/>
        </w:rPr>
      </w:pPr>
      <w:r>
        <w:rPr>
          <w:b/>
          <w:i w:val="false"/>
          <w:sz w:val="28"/>
          <w:u w:val="single"/>
        </w:rPr>
      </w:r>
    </w:p>
    <w:p>
      <w:pPr>
        <w:pStyle w:val="BodyText"/>
        <w:numPr>
          <w:ilvl w:val="0"/>
          <w:numId w:val="3"/>
        </w:numPr>
        <w:rPr/>
      </w:pPr>
      <w:r>
        <w:rPr>
          <w:i w:val="false"/>
          <w:u w:val="single"/>
        </w:rPr>
        <w:t>East Coast Treks</w:t>
      </w:r>
      <w:r>
        <w:rPr>
          <w:i w:val="false"/>
        </w:rPr>
        <w:t>: Philadelphia (10/13/2000); New York/Silicon Alley (11/3/2000); Washington, D.C. (1/26/2001); Boston (2/23/2001)</w:t>
      </w:r>
    </w:p>
    <w:p>
      <w:pPr>
        <w:pStyle w:val="BodyText"/>
        <w:numPr>
          <w:ilvl w:val="0"/>
          <w:numId w:val="3"/>
        </w:numPr>
        <w:rPr/>
      </w:pPr>
      <w:r>
        <w:rPr>
          <w:i w:val="false"/>
          <w:u w:val="single"/>
        </w:rPr>
        <w:t>Southern Treks</w:t>
      </w:r>
      <w:r>
        <w:rPr>
          <w:i w:val="false"/>
        </w:rPr>
        <w:t>: Atlanta (2/23/2001); Miami (3/2/2001)</w:t>
      </w:r>
    </w:p>
    <w:p>
      <w:pPr>
        <w:pStyle w:val="BodyText"/>
        <w:numPr>
          <w:ilvl w:val="0"/>
          <w:numId w:val="2"/>
        </w:numPr>
        <w:rPr/>
      </w:pPr>
      <w:r>
        <w:rPr>
          <w:i w:val="false"/>
          <w:u w:val="single"/>
        </w:rPr>
        <w:t>West Coast Treks</w:t>
      </w:r>
      <w:r>
        <w:rPr>
          <w:i w:val="false"/>
        </w:rPr>
        <w:t>: San Francisco/Silicon Valley (1/7-11, 2001); Seattle (1/11-12, 2001); Los Angeles (1/11-12, 2001); Austin (1/26/2001)</w:t>
      </w:r>
    </w:p>
    <w:p>
      <w:pPr>
        <w:pStyle w:val="BodyText"/>
        <w:numPr>
          <w:ilvl w:val="0"/>
          <w:numId w:val="2"/>
        </w:numPr>
        <w:rPr/>
      </w:pPr>
      <w:r>
        <w:rPr>
          <w:i w:val="false"/>
          <w:u w:val="single"/>
        </w:rPr>
        <w:t>International Treks</w:t>
      </w:r>
      <w:r>
        <w:rPr>
          <w:i w:val="false"/>
        </w:rPr>
        <w:t>:  London/Greater Europe (1/7-12, 2001)</w:t>
      </w:r>
      <w:r>
        <w:rPr/>
        <w:t xml:space="preserve">; </w:t>
      </w:r>
      <w:r>
        <w:rPr>
          <w:i w:val="false"/>
        </w:rPr>
        <w:t>Tokyo (TBA)</w:t>
      </w:r>
    </w:p>
    <w:p>
      <w:pPr>
        <w:pStyle w:val="BodyText"/>
        <w:ind w:firstLine="360" w:end="0"/>
        <w:rPr>
          <w:i w:val="false"/>
          <w:i w:val="false"/>
        </w:rPr>
      </w:pPr>
      <w:r>
        <w:rPr>
          <w:i w:val="false"/>
        </w:rPr>
      </w:r>
    </w:p>
    <w:p>
      <w:pPr>
        <w:pStyle w:val="BodyText"/>
        <w:rPr>
          <w:b/>
          <w:i w:val="false"/>
          <w:i w:val="false"/>
          <w:sz w:val="28"/>
          <w:u w:val="single"/>
        </w:rPr>
      </w:pPr>
      <w:r>
        <w:rPr>
          <w:b/>
          <w:i w:val="false"/>
          <w:sz w:val="28"/>
          <w:u w:val="single"/>
        </w:rPr>
        <w:t>SPONSORSHIP</w:t>
      </w:r>
    </w:p>
    <w:p>
      <w:pPr>
        <w:pStyle w:val="BodyText"/>
        <w:rPr>
          <w:b/>
          <w:i w:val="false"/>
          <w:i w:val="false"/>
          <w:sz w:val="28"/>
          <w:u w:val="single"/>
        </w:rPr>
      </w:pPr>
      <w:r>
        <w:rPr>
          <w:b/>
          <w:i w:val="false"/>
          <w:sz w:val="28"/>
          <w:u w:val="single"/>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LEVEL</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BENEFITS (partial listing)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Premiere - $20,000</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*Brand all Trek materials</w:t>
            </w:r>
          </w:p>
          <w:p>
            <w:pPr>
              <w:pStyle w:val="BodyText"/>
              <w:rPr>
                <w:i w:val="false"/>
                <w:i w:val="false"/>
              </w:rPr>
            </w:pPr>
            <w:r>
              <w:rPr>
                <w:i w:val="false"/>
              </w:rPr>
              <w:t>*URL recognition on the Trek Web Site</w:t>
            </w:r>
          </w:p>
          <w:p>
            <w:pPr>
              <w:pStyle w:val="BodyText"/>
              <w:rPr>
                <w:i w:val="false"/>
                <w:i w:val="false"/>
              </w:rPr>
            </w:pPr>
            <w:r>
              <w:rPr>
                <w:i w:val="false"/>
              </w:rPr>
              <w:t>*Sponsor welcome receptions – keynote</w:t>
            </w:r>
          </w:p>
          <w:p>
            <w:pPr>
              <w:pStyle w:val="BodyText"/>
              <w:rPr>
                <w:i w:val="false"/>
                <w:i w:val="false"/>
              </w:rPr>
            </w:pPr>
            <w:r>
              <w:rPr>
                <w:rFonts w:eastAsia="Garamond"/>
                <w:i w:val="false"/>
              </w:rPr>
              <w:t xml:space="preserve">  </w:t>
            </w:r>
            <w:r>
              <w:rPr>
                <w:i w:val="false"/>
              </w:rPr>
              <w:t>speakers encouraged</w:t>
            </w:r>
          </w:p>
          <w:p>
            <w:pPr>
              <w:pStyle w:val="BodyText"/>
              <w:rPr>
                <w:i w:val="false"/>
                <w:i w:val="false"/>
              </w:rPr>
            </w:pPr>
            <w:r>
              <w:rPr>
                <w:i w:val="false"/>
              </w:rPr>
              <w:t>*Unlimited access to Trek Resume Books</w:t>
            </w:r>
          </w:p>
          <w:p>
            <w:pPr>
              <w:pStyle w:val="BodyText"/>
              <w:rPr>
                <w:i w:val="false"/>
                <w:i w:val="false"/>
              </w:rPr>
            </w:pPr>
            <w:r>
              <w:rPr>
                <w:i w:val="false"/>
              </w:rPr>
              <w:t>*Present a 90-minute information session</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Selected - $   5,000</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*Sponsor a networking reception</w:t>
            </w:r>
          </w:p>
          <w:p>
            <w:pPr>
              <w:pStyle w:val="BodyText"/>
              <w:rPr>
                <w:i w:val="false"/>
                <w:i w:val="false"/>
              </w:rPr>
            </w:pPr>
            <w:r>
              <w:rPr>
                <w:i w:val="false"/>
              </w:rPr>
              <w:t xml:space="preserve">*Supply a keynote speaker at the networking   </w:t>
            </w:r>
          </w:p>
          <w:p>
            <w:pPr>
              <w:pStyle w:val="BodyText"/>
              <w:rPr>
                <w:i w:val="false"/>
                <w:i w:val="false"/>
              </w:rPr>
            </w:pPr>
            <w:r>
              <w:rPr>
                <w:rFonts w:eastAsia="Garamond"/>
                <w:i w:val="false"/>
              </w:rPr>
              <w:t xml:space="preserve">  </w:t>
            </w:r>
            <w:r>
              <w:rPr>
                <w:i w:val="false"/>
              </w:rPr>
              <w:t>reception</w:t>
            </w:r>
          </w:p>
          <w:p>
            <w:pPr>
              <w:pStyle w:val="BodyText"/>
              <w:rPr>
                <w:i w:val="false"/>
                <w:i w:val="false"/>
              </w:rPr>
            </w:pPr>
            <w:r>
              <w:rPr>
                <w:i w:val="false"/>
              </w:rPr>
              <w:t>*URL recognition on the Trek Web Site</w:t>
            </w:r>
          </w:p>
        </w:tc>
      </w:tr>
    </w:tbl>
    <w:p>
      <w:pPr>
        <w:pStyle w:val="BodyText"/>
        <w:rPr/>
      </w:pPr>
      <w:r>
        <w:rPr/>
      </w:r>
    </w:p>
    <w:p>
      <w:pPr>
        <w:pStyle w:val="BodyText"/>
        <w:rPr>
          <w:i w:val="false"/>
          <w:i w:val="false"/>
        </w:rPr>
      </w:pPr>
      <w:r>
        <w:rPr>
          <w:b/>
          <w:i w:val="false"/>
        </w:rPr>
        <w:t>OTHER MBA CAREER MANAGEMENT SPONSORSHIP OPPORTUNITIES*: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Career Management Kick-off event- August 29-31, 2000</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$10,000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Career Focus Day – September 29, 2000</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$2,500 - $ 5,000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Career Resource Center</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$2,500 - $15,000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Student Mock Interview Program</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$2,500 – $5,000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On-Campus Recruiting Center</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i w:val="false"/>
                <w:i w:val="false"/>
              </w:rPr>
            </w:pPr>
            <w:r>
              <w:rPr>
                <w:i w:val="false"/>
              </w:rPr>
              <w:t>$2,500 - $5,000</w:t>
            </w:r>
          </w:p>
        </w:tc>
      </w:tr>
    </w:tbl>
    <w:p>
      <w:pPr>
        <w:pStyle w:val="BodyText3"/>
        <w:jc w:val="start"/>
        <w:rPr/>
      </w:pPr>
      <w:r>
        <w:rPr>
          <w:i/>
          <w:sz w:val="20"/>
        </w:rPr>
        <w:t>*Visit</w:t>
      </w:r>
      <w:r>
        <w:rPr>
          <w:b/>
        </w:rPr>
        <w:t xml:space="preserve"> </w:t>
      </w:r>
      <w:hyperlink r:id="rId3">
        <w:r>
          <w:rPr>
            <w:rStyle w:val="Hyperlink"/>
            <w:sz w:val="20"/>
          </w:rPr>
          <w:t>http://employer.wharton.upenn.edu/recruiting/information/sponsorship.cfm</w:t>
        </w:r>
      </w:hyperlink>
      <w:r>
        <w:rPr>
          <w:b/>
        </w:rPr>
        <w:t xml:space="preserve"> </w:t>
      </w:r>
      <w:r>
        <w:rPr>
          <w:i/>
          <w:sz w:val="20"/>
        </w:rPr>
        <w:t>for complete</w:t>
      </w:r>
      <w:r>
        <w:rPr>
          <w:b/>
        </w:rPr>
        <w:t xml:space="preserve"> </w:t>
      </w:r>
      <w:r>
        <w:rPr>
          <w:i/>
          <w:sz w:val="20"/>
        </w:rPr>
        <w:t>descriptions</w:t>
      </w:r>
      <w:r>
        <w:rPr>
          <w:b/>
          <w:i/>
          <w:sz w:val="20"/>
        </w:rPr>
        <w:t>.</w:t>
      </w:r>
    </w:p>
    <w:p>
      <w:pPr>
        <w:pStyle w:val="BodyText3"/>
        <w:jc w:val="start"/>
        <w:rPr>
          <w:b/>
          <w:i/>
          <w:i/>
          <w:sz w:val="20"/>
        </w:rPr>
      </w:pPr>
      <w:r>
        <w:rPr>
          <w:b/>
          <w:i/>
          <w:sz w:val="20"/>
        </w:rPr>
      </w:r>
    </w:p>
    <w:p>
      <w:pPr>
        <w:pStyle w:val="BodyText3"/>
        <w:shd w:fill="F2F2F2" w:val="clear"/>
        <w:jc w:val="start"/>
        <w:rPr/>
      </w:pPr>
      <w:r>
        <w:rPr>
          <w:b/>
        </w:rPr>
        <w:t>For more information on MBA Career Management opportunities, please contact Ms. Cara Tyler, Career Counselor directly at 215-898-3318 (</w:t>
      </w:r>
      <w:hyperlink r:id="rId4">
        <w:r>
          <w:rPr>
            <w:rStyle w:val="Hyperlink"/>
          </w:rPr>
          <w:t>Tcara@wharton.upenn.edu</w:t>
        </w:r>
      </w:hyperlink>
      <w:r>
        <w:rPr>
          <w:b/>
        </w:rPr>
        <w:t>) OR your manager in the Corporate and Foundation Relations Office.</w:t>
      </w:r>
    </w:p>
    <w:p>
      <w:pPr>
        <w:pStyle w:val="BodyText2"/>
        <w:rPr>
          <w:b/>
          <w:i w:val="false"/>
          <w:i w:val="false"/>
          <w:sz w:val="28"/>
          <w:u w:val="single"/>
        </w:rPr>
      </w:pPr>
      <w:r>
        <w:rPr>
          <w:b/>
          <w:i w:val="false"/>
          <w:sz w:val="28"/>
          <w:u w:val="single"/>
        </w:rPr>
        <w:t>III. WHARTON WELCOME WEEKEND</w:t>
      </w:r>
    </w:p>
    <w:p>
      <w:pPr>
        <w:pStyle w:val="BodyText2"/>
        <w:rPr>
          <w:b/>
          <w:i w:val="false"/>
          <w:i w:val="false"/>
          <w:sz w:val="28"/>
          <w:u w:val="single"/>
        </w:rPr>
      </w:pPr>
      <w:r>
        <w:rPr>
          <w:b/>
          <w:i w:val="false"/>
          <w:sz w:val="28"/>
          <w:u w:val="single"/>
        </w:rPr>
      </w:r>
    </w:p>
    <w:p>
      <w:pPr>
        <w:pStyle w:val="BodyText2"/>
        <w:rPr/>
      </w:pPr>
      <w:r>
        <w:rPr>
          <w:b/>
          <w:sz w:val="28"/>
        </w:rPr>
        <w:t>Wharton Welcome Weekend</w:t>
      </w:r>
      <w:r>
        <w:rPr>
          <w:sz w:val="28"/>
        </w:rPr>
        <w:t xml:space="preserve"> is held for prospective students who have been accepted to the School and are in the process of making a final decision as to whether they will attend. Sponsoring any of this weekend’s fun and informative activities, held from March 30-April 1, 2001, will give a company exposure among an elite group of future business leaders.</w:t>
      </w:r>
    </w:p>
    <w:p>
      <w:pPr>
        <w:pStyle w:val="Normal"/>
        <w:rPr>
          <w:sz w:val="28"/>
        </w:rPr>
      </w:pPr>
      <w:r>
        <w:rPr>
          <w:sz w:val="28"/>
        </w:rPr>
      </w:r>
    </w:p>
    <w:p>
      <w:pPr>
        <w:pStyle w:val="Heading5"/>
        <w:ind w:hanging="0" w:start="0"/>
        <w:rPr>
          <w:sz w:val="28"/>
        </w:rPr>
      </w:pPr>
      <w:r>
        <w:rPr>
          <w:sz w:val="28"/>
        </w:rPr>
        <w:t>OPPORTUNITIES</w:t>
      </w:r>
    </w:p>
    <w:p>
      <w:pPr>
        <w:pStyle w:val="Normal"/>
        <w:rPr>
          <w:rFonts w:ascii="Garamond" w:hAnsi="Garamond" w:cs="Garamond"/>
          <w:b/>
          <w:sz w:val="24"/>
          <w:u w:val="single"/>
        </w:rPr>
      </w:pPr>
      <w:r>
        <w:rPr>
          <w:rFonts w:cs="Garamond" w:ascii="Garamond" w:hAnsi="Garamond"/>
          <w:b/>
          <w:sz w:val="24"/>
          <w:u w:val="single"/>
        </w:rPr>
      </w:r>
    </w:p>
    <w:p>
      <w:pPr>
        <w:pStyle w:val="Normal"/>
        <w:numPr>
          <w:ilvl w:val="0"/>
          <w:numId w:val="4"/>
        </w:numPr>
        <w:rPr>
          <w:rFonts w:ascii="Garamond" w:hAnsi="Garamond" w:cs="Garamond"/>
          <w:sz w:val="24"/>
        </w:rPr>
      </w:pPr>
      <w:r>
        <w:rPr>
          <w:rFonts w:cs="Garamond" w:ascii="Garamond" w:hAnsi="Garamond"/>
          <w:sz w:val="24"/>
        </w:rPr>
        <w:t>Welcome Weekend Web site  - February, 2001</w:t>
      </w:r>
    </w:p>
    <w:p>
      <w:pPr>
        <w:pStyle w:val="Normal"/>
        <w:numPr>
          <w:ilvl w:val="0"/>
          <w:numId w:val="4"/>
        </w:numPr>
        <w:rPr>
          <w:rFonts w:ascii="Garamond" w:hAnsi="Garamond" w:cs="Garamond"/>
          <w:sz w:val="24"/>
        </w:rPr>
      </w:pPr>
      <w:r>
        <w:rPr>
          <w:rFonts w:cs="Garamond" w:ascii="Garamond" w:hAnsi="Garamond"/>
          <w:sz w:val="24"/>
        </w:rPr>
        <w:t>Welcome Weekend Registration – Friday, March 30, 2001</w:t>
      </w:r>
    </w:p>
    <w:p>
      <w:pPr>
        <w:pStyle w:val="Normal"/>
        <w:numPr>
          <w:ilvl w:val="0"/>
          <w:numId w:val="4"/>
        </w:numPr>
        <w:rPr>
          <w:rFonts w:ascii="Garamond" w:hAnsi="Garamond" w:cs="Garamond"/>
          <w:sz w:val="24"/>
        </w:rPr>
      </w:pPr>
      <w:r>
        <w:rPr>
          <w:rFonts w:cs="Garamond" w:ascii="Garamond" w:hAnsi="Garamond"/>
          <w:sz w:val="24"/>
        </w:rPr>
        <w:t>Welcome Weekend Barbecue  - Friday, March 30, 2001</w:t>
      </w:r>
    </w:p>
    <w:p>
      <w:pPr>
        <w:pStyle w:val="Normal"/>
        <w:numPr>
          <w:ilvl w:val="0"/>
          <w:numId w:val="4"/>
        </w:numPr>
        <w:rPr>
          <w:rFonts w:ascii="Garamond" w:hAnsi="Garamond" w:cs="Garamond"/>
          <w:sz w:val="24"/>
        </w:rPr>
      </w:pPr>
      <w:r>
        <w:rPr>
          <w:rFonts w:cs="Garamond" w:ascii="Garamond" w:hAnsi="Garamond"/>
          <w:sz w:val="24"/>
        </w:rPr>
        <w:t>Wharton Presentation – “A Slice of Life” – Friday, March 30, 2001</w:t>
      </w:r>
    </w:p>
    <w:p>
      <w:pPr>
        <w:pStyle w:val="Normal"/>
        <w:numPr>
          <w:ilvl w:val="0"/>
          <w:numId w:val="4"/>
        </w:numPr>
        <w:rPr>
          <w:rFonts w:ascii="Garamond" w:hAnsi="Garamond" w:cs="Garamond"/>
          <w:sz w:val="24"/>
        </w:rPr>
      </w:pPr>
      <w:r>
        <w:rPr>
          <w:rFonts w:cs="Garamond" w:ascii="Garamond" w:hAnsi="Garamond"/>
          <w:sz w:val="24"/>
        </w:rPr>
        <w:t>Dinner with the Dean – Friday, March 30, 2001</w:t>
      </w:r>
    </w:p>
    <w:p>
      <w:pPr>
        <w:pStyle w:val="Normal"/>
        <w:numPr>
          <w:ilvl w:val="0"/>
          <w:numId w:val="4"/>
        </w:numPr>
        <w:rPr>
          <w:rFonts w:ascii="Garamond" w:hAnsi="Garamond" w:cs="Garamond"/>
          <w:sz w:val="24"/>
        </w:rPr>
      </w:pPr>
      <w:r>
        <w:rPr>
          <w:rFonts w:cs="Garamond" w:ascii="Garamond" w:hAnsi="Garamond"/>
          <w:sz w:val="24"/>
        </w:rPr>
        <w:t xml:space="preserve">Welcome Weekend Theme Party – Friday, March 30, 2001 </w:t>
      </w:r>
    </w:p>
    <w:p>
      <w:pPr>
        <w:pStyle w:val="Normal"/>
        <w:numPr>
          <w:ilvl w:val="0"/>
          <w:numId w:val="4"/>
        </w:numPr>
        <w:rPr>
          <w:rFonts w:ascii="Garamond" w:hAnsi="Garamond" w:cs="Garamond"/>
          <w:sz w:val="24"/>
        </w:rPr>
      </w:pPr>
      <w:r>
        <w:rPr>
          <w:rFonts w:cs="Garamond" w:ascii="Garamond" w:hAnsi="Garamond"/>
          <w:sz w:val="24"/>
        </w:rPr>
        <w:t xml:space="preserve">Lunch and Philadelphia City Bus Tour – Saturday, April 1, 2001 </w:t>
      </w:r>
    </w:p>
    <w:p>
      <w:pPr>
        <w:pStyle w:val="Normal"/>
        <w:numPr>
          <w:ilvl w:val="0"/>
          <w:numId w:val="4"/>
        </w:numPr>
        <w:rPr>
          <w:rFonts w:ascii="Garamond" w:hAnsi="Garamond" w:cs="Garamond"/>
          <w:sz w:val="24"/>
        </w:rPr>
      </w:pPr>
      <w:r>
        <w:rPr>
          <w:rFonts w:cs="Garamond" w:ascii="Garamond" w:hAnsi="Garamond"/>
          <w:sz w:val="24"/>
        </w:rPr>
        <w:t>Club Exposition – Saturday, April 1, 2001</w:t>
      </w:r>
    </w:p>
    <w:p>
      <w:pPr>
        <w:pStyle w:val="Normal"/>
        <w:numPr>
          <w:ilvl w:val="0"/>
          <w:numId w:val="4"/>
        </w:numPr>
        <w:rPr>
          <w:rFonts w:ascii="Garamond" w:hAnsi="Garamond" w:cs="Garamond"/>
          <w:sz w:val="24"/>
        </w:rPr>
      </w:pPr>
      <w:r>
        <w:rPr>
          <w:rFonts w:cs="Garamond" w:ascii="Garamond" w:hAnsi="Garamond"/>
          <w:sz w:val="24"/>
        </w:rPr>
        <w:t>Welcome Brunch/Housing Forum – Sunday, April 2, 2001</w:t>
      </w:r>
    </w:p>
    <w:p>
      <w:pPr>
        <w:pStyle w:val="Heading5"/>
        <w:ind w:hanging="0" w:start="0"/>
        <w:rPr>
          <w:rFonts w:ascii="Garamond" w:hAnsi="Garamond" w:cs="Garamond"/>
          <w:sz w:val="28"/>
        </w:rPr>
      </w:pPr>
      <w:r>
        <w:rPr>
          <w:rFonts w:cs="Garamond"/>
          <w:sz w:val="28"/>
        </w:rPr>
      </w:r>
    </w:p>
    <w:p>
      <w:pPr>
        <w:pStyle w:val="Heading5"/>
        <w:ind w:hanging="0" w:start="0"/>
        <w:rPr>
          <w:sz w:val="28"/>
        </w:rPr>
      </w:pPr>
      <w:r>
        <w:rPr>
          <w:sz w:val="28"/>
        </w:rPr>
        <w:t>SPONSORSHIP</w:t>
      </w:r>
    </w:p>
    <w:p>
      <w:pPr>
        <w:pStyle w:val="Normal"/>
        <w:rPr>
          <w:rFonts w:ascii="Garamond" w:hAnsi="Garamond" w:cs="Garamond"/>
          <w:b/>
          <w:sz w:val="24"/>
          <w:u w:val="single"/>
        </w:rPr>
      </w:pPr>
      <w:r>
        <w:rPr>
          <w:rFonts w:cs="Garamond" w:ascii="Garamond" w:hAnsi="Garamond"/>
          <w:b/>
          <w:sz w:val="24"/>
          <w:u w:val="single"/>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LEVEL</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sz w:val="24"/>
              </w:rPr>
            </w:pPr>
            <w:r>
              <w:rPr>
                <w:rFonts w:cs="Garamond" w:ascii="Garamond" w:hAnsi="Garamond"/>
                <w:sz w:val="24"/>
              </w:rPr>
              <w:t>ACTIVITY</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Platinum - $15,000</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sz w:val="24"/>
              </w:rPr>
            </w:pPr>
            <w:r>
              <w:rPr>
                <w:rFonts w:cs="Garamond" w:ascii="Garamond" w:hAnsi="Garamond"/>
                <w:sz w:val="24"/>
              </w:rPr>
              <w:t>Dinner with the Dean</w:t>
            </w:r>
          </w:p>
          <w:p>
            <w:pPr>
              <w:pStyle w:val="Normal"/>
              <w:rPr>
                <w:rFonts w:ascii="Garamond" w:hAnsi="Garamond" w:cs="Garamond"/>
                <w:sz w:val="24"/>
              </w:rPr>
            </w:pPr>
            <w:r>
              <w:rPr>
                <w:rFonts w:cs="Garamond" w:ascii="Garamond" w:hAnsi="Garamond"/>
                <w:sz w:val="24"/>
              </w:rPr>
              <w:t xml:space="preserve">Opportunity to speak to students and staff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Gold -       $10,000</w:t>
            </w:r>
          </w:p>
        </w:tc>
        <w:tc>
          <w:tcPr>
            <w:tcW w:w="4428"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Welcome Weekend Barbecue</w:t>
            </w:r>
          </w:p>
          <w:p>
            <w:pPr>
              <w:pStyle w:val="Normal"/>
              <w:rPr>
                <w:rFonts w:ascii="Garamond" w:hAnsi="Garamond" w:cs="Garamond"/>
                <w:sz w:val="24"/>
              </w:rPr>
            </w:pPr>
            <w:r>
              <w:rPr>
                <w:rFonts w:cs="Garamond" w:ascii="Garamond" w:hAnsi="Garamond"/>
                <w:sz w:val="24"/>
              </w:rPr>
              <w:t>Welcome Weekend Theme Party</w:t>
            </w:r>
          </w:p>
          <w:p>
            <w:pPr>
              <w:pStyle w:val="Normal"/>
              <w:rPr>
                <w:rFonts w:ascii="Garamond" w:hAnsi="Garamond" w:cs="Garamond"/>
                <w:sz w:val="24"/>
              </w:rPr>
            </w:pPr>
            <w:r>
              <w:rPr>
                <w:rFonts w:cs="Garamond" w:ascii="Garamond" w:hAnsi="Garamond"/>
                <w:sz w:val="24"/>
              </w:rPr>
              <w:t>Lunch and Philadelphia City Bus Tour</w:t>
            </w:r>
          </w:p>
          <w:p>
            <w:pPr>
              <w:pStyle w:val="Normal"/>
              <w:rPr>
                <w:rFonts w:ascii="Garamond" w:hAnsi="Garamond" w:cs="Garamond"/>
                <w:sz w:val="24"/>
              </w:rPr>
            </w:pPr>
            <w:r>
              <w:rPr>
                <w:rFonts w:cs="Garamond" w:ascii="Garamond" w:hAnsi="Garamond"/>
                <w:sz w:val="24"/>
              </w:rPr>
              <w:t xml:space="preserve">Welcome Weekend Web-site </w:t>
            </w:r>
          </w:p>
          <w:p>
            <w:pPr>
              <w:pStyle w:val="Normal"/>
              <w:rPr>
                <w:rFonts w:ascii="Garamond" w:hAnsi="Garamond" w:cs="Garamond"/>
                <w:sz w:val="24"/>
              </w:rPr>
            </w:pPr>
            <w:r>
              <w:rPr>
                <w:rFonts w:cs="Garamond" w:ascii="Garamond" w:hAnsi="Garamond"/>
                <w:sz w:val="24"/>
              </w:rPr>
              <w:t>Opportunity to speak to students and staff at the “kick-off” of the event sponsored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Silver -     $   7,500</w:t>
            </w:r>
          </w:p>
        </w:tc>
        <w:tc>
          <w:tcPr>
            <w:tcW w:w="4428"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Welcome Weekend Registration</w:t>
            </w:r>
          </w:p>
          <w:p>
            <w:pPr>
              <w:pStyle w:val="Normal"/>
              <w:rPr>
                <w:rFonts w:ascii="Garamond" w:hAnsi="Garamond" w:cs="Garamond"/>
                <w:sz w:val="24"/>
              </w:rPr>
            </w:pPr>
            <w:r>
              <w:rPr>
                <w:rFonts w:cs="Garamond" w:ascii="Garamond" w:hAnsi="Garamond"/>
                <w:sz w:val="24"/>
              </w:rPr>
              <w:t>Wharton Presentation – “A Slice of Life”</w:t>
            </w:r>
          </w:p>
          <w:p>
            <w:pPr>
              <w:pStyle w:val="Normal"/>
              <w:rPr>
                <w:rFonts w:ascii="Garamond" w:hAnsi="Garamond" w:cs="Garamond"/>
                <w:sz w:val="24"/>
              </w:rPr>
            </w:pPr>
            <w:r>
              <w:rPr>
                <w:rFonts w:cs="Garamond" w:ascii="Garamond" w:hAnsi="Garamond"/>
                <w:sz w:val="24"/>
              </w:rPr>
              <w:t>Club Exposition</w:t>
            </w:r>
          </w:p>
          <w:p>
            <w:pPr>
              <w:pStyle w:val="Normal"/>
              <w:rPr>
                <w:rFonts w:ascii="Garamond" w:hAnsi="Garamond" w:cs="Garamond"/>
                <w:sz w:val="24"/>
              </w:rPr>
            </w:pPr>
            <w:r>
              <w:rPr>
                <w:rFonts w:cs="Garamond" w:ascii="Garamond" w:hAnsi="Garamond"/>
                <w:sz w:val="24"/>
              </w:rPr>
              <w:t>Welcome Brunch/Housing Forum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Bronze - $    5,000</w:t>
            </w:r>
          </w:p>
        </w:tc>
        <w:tc>
          <w:tcPr>
            <w:tcW w:w="4428"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General Sponsorship</w:t>
            </w:r>
          </w:p>
        </w:tc>
      </w:tr>
    </w:tbl>
    <w:p>
      <w:pPr>
        <w:pStyle w:val="Normal"/>
        <w:rPr/>
      </w:pPr>
      <w:r>
        <w:rPr>
          <w:rFonts w:cs="Garamond" w:ascii="Garamond" w:hAnsi="Garamond"/>
          <w:sz w:val="24"/>
        </w:rPr>
        <w:t xml:space="preserve">Among other benefits, sponsorship at any </w:t>
      </w:r>
      <w:r>
        <w:rPr>
          <w:rFonts w:cs="Garamond" w:ascii="Garamond" w:hAnsi="Garamond"/>
          <w:i/>
          <w:sz w:val="24"/>
        </w:rPr>
        <w:t>Welcome Weekend</w:t>
      </w:r>
      <w:r>
        <w:rPr>
          <w:rFonts w:cs="Garamond" w:ascii="Garamond" w:hAnsi="Garamond"/>
          <w:sz w:val="24"/>
        </w:rPr>
        <w:t xml:space="preserve"> level entitles firms to:</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b/>
        </w:rPr>
        <w:t>*</w:t>
      </w:r>
      <w:r>
        <w:rPr>
          <w:rFonts w:cs="Garamond" w:ascii="Garamond" w:hAnsi="Garamond"/>
        </w:rPr>
        <w:t xml:space="preserve">Display of the company’s logo on the Welcome Weekend t-shirt </w:t>
      </w:r>
      <w:r>
        <w:rPr>
          <w:rFonts w:cs="Garamond" w:ascii="Garamond" w:hAnsi="Garamond"/>
          <w:b/>
        </w:rPr>
        <w:t>*</w:t>
      </w:r>
      <w:r>
        <w:rPr>
          <w:rFonts w:cs="Garamond" w:ascii="Garamond" w:hAnsi="Garamond"/>
        </w:rPr>
        <w:t xml:space="preserve">Category exclusivity association with an event </w:t>
      </w:r>
      <w:r>
        <w:rPr>
          <w:rFonts w:cs="Garamond" w:ascii="Garamond" w:hAnsi="Garamond"/>
          <w:b/>
        </w:rPr>
        <w:t>*</w:t>
      </w:r>
      <w:r>
        <w:rPr>
          <w:rFonts w:cs="Garamond" w:ascii="Garamond" w:hAnsi="Garamond"/>
        </w:rPr>
        <w:t xml:space="preserve">Reference to the firm in the </w:t>
      </w:r>
      <w:r>
        <w:rPr>
          <w:rFonts w:cs="Garamond" w:ascii="Garamond" w:hAnsi="Garamond"/>
          <w:i/>
        </w:rPr>
        <w:t>Welcome Weekend</w:t>
      </w:r>
      <w:r>
        <w:rPr>
          <w:rFonts w:cs="Garamond" w:ascii="Garamond" w:hAnsi="Garamond"/>
        </w:rPr>
        <w:t xml:space="preserve"> schedule of events </w:t>
      </w:r>
      <w:r>
        <w:rPr>
          <w:rFonts w:cs="Garamond" w:ascii="Garamond" w:hAnsi="Garamond"/>
          <w:b/>
        </w:rPr>
        <w:t>*</w:t>
      </w:r>
      <w:r>
        <w:rPr>
          <w:rFonts w:cs="Garamond" w:ascii="Garamond" w:hAnsi="Garamond"/>
        </w:rPr>
        <w:t xml:space="preserve">Opportunity to display corporate banner at the event </w:t>
      </w:r>
      <w:r>
        <w:rPr>
          <w:rFonts w:cs="Garamond" w:ascii="Garamond" w:hAnsi="Garamond"/>
          <w:b/>
        </w:rPr>
        <w:t>*</w:t>
      </w:r>
      <w:r>
        <w:rPr>
          <w:rFonts w:cs="Garamond" w:ascii="Garamond" w:hAnsi="Garamond"/>
        </w:rPr>
        <w:t>Reference as a sponsoring company in all information distributed at the event.</w:t>
      </w:r>
    </w:p>
    <w:p>
      <w:pPr>
        <w:pStyle w:val="Normal"/>
        <w:rPr/>
      </w:pPr>
      <w:r>
        <w:rPr>
          <w:rFonts w:cs="Garamond" w:ascii="Garamond" w:hAnsi="Garamond"/>
          <w:b/>
        </w:rPr>
        <w:t>*</w:t>
      </w:r>
      <w:r>
        <w:rPr>
          <w:rFonts w:cs="Garamond" w:ascii="Garamond" w:hAnsi="Garamond"/>
        </w:rPr>
        <w:t xml:space="preserve">Display of the company’s logo in the “Sponsorship Section” of the </w:t>
      </w:r>
      <w:r>
        <w:rPr>
          <w:rFonts w:cs="Garamond" w:ascii="Garamond" w:hAnsi="Garamond"/>
          <w:i/>
        </w:rPr>
        <w:t>Welcome Weekend</w:t>
      </w:r>
      <w:r>
        <w:rPr>
          <w:rFonts w:cs="Garamond" w:ascii="Garamond" w:hAnsi="Garamond"/>
        </w:rPr>
        <w:t xml:space="preserve"> Guidebook.</w:t>
      </w:r>
    </w:p>
    <w:p>
      <w:pPr>
        <w:pStyle w:val="Normal"/>
        <w:rPr>
          <w:rFonts w:ascii="Garamond" w:hAnsi="Garamond" w:cs="Garamond"/>
          <w:i/>
          <w:i/>
          <w:sz w:val="24"/>
        </w:rPr>
      </w:pPr>
      <w:r>
        <w:rPr>
          <w:rFonts w:cs="Garamond" w:ascii="Garamond" w:hAnsi="Garamond"/>
          <w:i/>
          <w:sz w:val="24"/>
        </w:rPr>
      </w:r>
    </w:p>
    <w:p>
      <w:pPr>
        <w:pStyle w:val="Normal"/>
        <w:shd w:fill="F2F2F2" w:val="clear"/>
        <w:rPr/>
      </w:pPr>
      <w:r>
        <w:rPr>
          <w:rFonts w:cs="Garamond" w:ascii="Garamond" w:hAnsi="Garamond"/>
          <w:b/>
          <w:sz w:val="24"/>
        </w:rPr>
        <w:t xml:space="preserve">For more information about </w:t>
      </w:r>
      <w:r>
        <w:rPr>
          <w:rFonts w:cs="Garamond" w:ascii="Garamond" w:hAnsi="Garamond"/>
          <w:b/>
          <w:i/>
          <w:sz w:val="24"/>
        </w:rPr>
        <w:t>Wharton Welcome Weekend</w:t>
      </w:r>
      <w:r>
        <w:rPr>
          <w:rFonts w:cs="Garamond" w:ascii="Garamond" w:hAnsi="Garamond"/>
          <w:b/>
          <w:sz w:val="24"/>
        </w:rPr>
        <w:t xml:space="preserve"> activities, please contact Rosemaria Martinelli at 215-898-3423 (Rosem@wharton.upenn.edu) OR your manager in the Corporate and Foundation Relations Office.  </w:t>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Garamond" w:hAnsi="Garamond" w:cs="Garamond"/>
      <w:b/>
      <w:u w:val="single"/>
    </w:rPr>
  </w:style>
  <w:style w:type="paragraph" w:styleId="Heading2">
    <w:name w:val="heading 2"/>
    <w:basedOn w:val="Normal"/>
    <w:next w:val="Normal"/>
    <w:qFormat/>
    <w:pPr>
      <w:keepNext w:val="true"/>
      <w:numPr>
        <w:ilvl w:val="1"/>
        <w:numId w:val="1"/>
      </w:numPr>
      <w:jc w:val="both"/>
      <w:outlineLvl w:val="1"/>
    </w:pPr>
    <w:rPr>
      <w:rFonts w:ascii="Garamond" w:hAnsi="Garamond" w:cs="Garamond"/>
      <w:b/>
      <w:sz w:val="24"/>
    </w:rPr>
  </w:style>
  <w:style w:type="paragraph" w:styleId="Heading3">
    <w:name w:val="heading 3"/>
    <w:basedOn w:val="Normal"/>
    <w:next w:val="Normal"/>
    <w:qFormat/>
    <w:pPr>
      <w:keepNext w:val="true"/>
      <w:numPr>
        <w:ilvl w:val="2"/>
        <w:numId w:val="1"/>
      </w:numPr>
      <w:outlineLvl w:val="2"/>
    </w:pPr>
    <w:rPr>
      <w:rFonts w:ascii="Garamond" w:hAnsi="Garamond" w:cs="Garamond"/>
      <w:b/>
    </w:rPr>
  </w:style>
  <w:style w:type="paragraph" w:styleId="Heading4">
    <w:name w:val="heading 4"/>
    <w:basedOn w:val="Normal"/>
    <w:next w:val="Normal"/>
    <w:qFormat/>
    <w:pPr>
      <w:keepNext w:val="true"/>
      <w:numPr>
        <w:ilvl w:val="3"/>
        <w:numId w:val="1"/>
      </w:numPr>
      <w:outlineLvl w:val="3"/>
    </w:pPr>
    <w:rPr>
      <w:rFonts w:ascii="Garamond" w:hAnsi="Garamond" w:cs="Garamond"/>
      <w:b/>
      <w:sz w:val="24"/>
    </w:rPr>
  </w:style>
  <w:style w:type="paragraph" w:styleId="Heading5">
    <w:name w:val="heading 5"/>
    <w:basedOn w:val="Normal"/>
    <w:next w:val="Normal"/>
    <w:qFormat/>
    <w:pPr>
      <w:keepNext w:val="true"/>
      <w:numPr>
        <w:ilvl w:val="4"/>
        <w:numId w:val="1"/>
      </w:numPr>
      <w:outlineLvl w:val="4"/>
    </w:pPr>
    <w:rPr>
      <w:rFonts w:ascii="Garamond" w:hAnsi="Garamond" w:cs="Garamond"/>
      <w:b/>
      <w:sz w:val="24"/>
      <w:u w:val="single"/>
    </w:rPr>
  </w:style>
  <w:style w:type="paragraph" w:styleId="Heading6">
    <w:name w:val="heading 6"/>
    <w:basedOn w:val="Normal"/>
    <w:next w:val="Normal"/>
    <w:qFormat/>
    <w:pPr>
      <w:keepNext w:val="true"/>
      <w:numPr>
        <w:ilvl w:val="5"/>
        <w:numId w:val="1"/>
      </w:numPr>
      <w:outlineLvl w:val="5"/>
    </w:pPr>
    <w:rPr>
      <w:rFonts w:ascii="Garamond" w:hAnsi="Garamond" w:cs="Garamond"/>
      <w:sz w:val="24"/>
    </w:rPr>
  </w:style>
  <w:style w:type="paragraph" w:styleId="Heading7">
    <w:name w:val="heading 7"/>
    <w:basedOn w:val="Normal"/>
    <w:next w:val="Normal"/>
    <w:qFormat/>
    <w:pPr>
      <w:keepNext w:val="true"/>
      <w:numPr>
        <w:ilvl w:val="6"/>
        <w:numId w:val="1"/>
      </w:numPr>
      <w:jc w:val="center"/>
      <w:outlineLvl w:val="6"/>
    </w:pPr>
    <w:rPr>
      <w:rFonts w:ascii="Garamond" w:hAnsi="Garamond" w:cs="Garamond"/>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Garamond" w:hAnsi="Garamond" w:cs="Garamond"/>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Garamond" w:hAnsi="Garamond" w:cs="Garamond"/>
      <w:i/>
      <w:sz w:val="24"/>
    </w:rPr>
  </w:style>
  <w:style w:type="paragraph" w:styleId="BodyText3">
    <w:name w:val="Body Text 3"/>
    <w:basedOn w:val="Normal"/>
    <w:qFormat/>
    <w:pPr>
      <w:jc w:val="both"/>
    </w:pPr>
    <w:rPr>
      <w:rFonts w:ascii="Garamond" w:hAnsi="Garamond" w:cs="Garamond"/>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rlova@wharton.upenn.edu" TargetMode="External"/><Relationship Id="rId3" Type="http://schemas.openxmlformats.org/officeDocument/2006/relationships/hyperlink" Target="http://employer.wharton.upenn.edu/recruiting/information/sponsorship.cfm" TargetMode="External"/><Relationship Id="rId4" Type="http://schemas.openxmlformats.org/officeDocument/2006/relationships/hyperlink" Target="mailto:Tcara@wharton.upenn.edu"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2000-07-11T17:27:00Z</dcterms:created>
  <dc:creator>HENLEYN</dc:creator>
  <dc:description/>
  <dc:language>en-CA</dc:language>
  <cp:lastModifiedBy>HENLEYN</cp:lastModifiedBy>
  <cp:lastPrinted>2000-07-28T09:46:00Z</cp:lastPrinted>
  <dcterms:modified xsi:type="dcterms:W3CDTF">2000-07-18T17:00:00Z</dcterms:modified>
  <cp:revision>14</cp:revision>
  <dc:subject/>
  <dc:title>OPPORTUNITIES AT THE WHARTON SCHOOL</dc:title>
</cp:coreProperties>
</file>