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1" distT="0" distB="0" distL="114935" distR="114935" simplePos="0" locked="0" layoutInCell="0" allowOverlap="1" relativeHeight="2">
            <wp:simplePos x="0" y="0"/>
            <wp:positionH relativeFrom="column">
              <wp:posOffset>-457200</wp:posOffset>
            </wp:positionH>
            <wp:positionV relativeFrom="paragraph">
              <wp:posOffset>-548640</wp:posOffset>
            </wp:positionV>
            <wp:extent cx="1554480" cy="1188720"/>
            <wp:effectExtent l="0" t="0" r="0" b="0"/>
            <wp:wrapTight wrapText="bothSides">
              <wp:wrapPolygon edited="0">
                <wp:start x="-54" y="0"/>
                <wp:lineTo x="-54" y="21487"/>
                <wp:lineTo x="21600" y="21487"/>
                <wp:lineTo x="21600" y="0"/>
                <wp:lineTo x="-54" y="0"/>
              </wp:wrapPolygon>
            </wp:wrapTight>
            <wp:docPr id="1" name="OPICLO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ICLOG2" descr="" title=""/>
                    <pic:cNvPicPr>
                      <a:picLocks noChangeAspect="1" noChangeArrowheads="1"/>
                    </pic:cNvPicPr>
                  </pic:nvPicPr>
                  <pic:blipFill>
                    <a:blip r:embed="rId2"/>
                    <a:srcRect l="-9" t="-10" r="-9" b="-10"/>
                    <a:stretch>
                      <a:fillRect/>
                    </a:stretch>
                  </pic:blipFill>
                  <pic:spPr bwMode="auto">
                    <a:xfrm>
                      <a:off x="0" y="0"/>
                      <a:ext cx="1554480" cy="1188720"/>
                    </a:xfrm>
                    <a:prstGeom prst="rect">
                      <a:avLst/>
                    </a:prstGeom>
                    <a:noFill/>
                  </pic:spPr>
                </pic:pic>
              </a:graphicData>
            </a:graphic>
          </wp:anchor>
        </w:drawing>
      </w:r>
      <w:r>
        <w:rPr>
          <w:b/>
          <w:u w:val="single"/>
        </w:rPr>
        <w:t>FOR IMMEDIATE RELEASE</w:t>
      </w:r>
      <w:r>
        <w:rPr/>
        <w:tab/>
        <w:t xml:space="preserve">   For further information, contact:</w:t>
      </w:r>
    </w:p>
    <w:p>
      <w:pPr>
        <w:pStyle w:val="Normal"/>
        <w:rPr/>
      </w:pPr>
      <w:r>
        <w:rPr/>
        <w:t>Tuesday, June 19, 2001                       Lawrence Spinelli (202) 336-8690</w:t>
      </w:r>
    </w:p>
    <w:p>
      <w:pPr>
        <w:pStyle w:val="Normal"/>
        <w:rPr/>
      </w:pPr>
      <w:r>
        <w:rPr/>
        <w:t xml:space="preserve">                                                           </w:t>
      </w:r>
      <w:r>
        <w:rPr/>
        <w:t>Timothy Harwood (202) 336-8744</w:t>
      </w:r>
    </w:p>
    <w:p>
      <w:pPr>
        <w:pStyle w:val="Normal"/>
        <w:rPr/>
      </w:pPr>
      <w:r>
        <w:rPr/>
      </w:r>
    </w:p>
    <w:p>
      <w:pPr>
        <w:pStyle w:val="Normal"/>
        <w:rPr/>
      </w:pPr>
      <w:r>
        <w:rPr/>
      </w:r>
    </w:p>
    <w:p>
      <w:pPr>
        <w:pStyle w:val="Heading2"/>
        <w:ind w:hanging="0" w:start="0"/>
        <w:rPr/>
      </w:pPr>
      <w:r>
        <w:rPr/>
        <w:t xml:space="preserve">OPIC BOARD APPROVES $356 MILLION </w:t>
      </w:r>
    </w:p>
    <w:p>
      <w:pPr>
        <w:pStyle w:val="Heading2"/>
        <w:ind w:hanging="0" w:start="0"/>
        <w:rPr/>
      </w:pPr>
      <w:r>
        <w:rPr/>
        <w:t>FOR PROJECTS IN LATIN AMERICA</w:t>
      </w:r>
    </w:p>
    <w:p>
      <w:pPr>
        <w:pStyle w:val="Normal"/>
        <w:rPr/>
      </w:pPr>
      <w:r>
        <w:rPr/>
      </w:r>
    </w:p>
    <w:p>
      <w:pPr>
        <w:pStyle w:val="Normal"/>
        <w:rPr/>
      </w:pPr>
      <w:r>
        <w:rPr/>
        <w:tab/>
      </w:r>
    </w:p>
    <w:p>
      <w:pPr>
        <w:pStyle w:val="Normal"/>
        <w:ind w:firstLine="720" w:end="0"/>
        <w:rPr/>
      </w:pPr>
      <w:r>
        <w:rPr/>
        <w:t>WASHINGTON, D.C. – The board of directors of the Overseas Private Investment Corporation (OPIC) today approved $356 million in financing for three projects in Latin America, including one to privatize Peru’s largest airport and one to construct a much-needed power plant in Brazil. A third project would help stimulate the development of a secondary mortgage market in Argentina.</w:t>
      </w:r>
    </w:p>
    <w:p>
      <w:pPr>
        <w:pStyle w:val="Normal"/>
        <w:rPr/>
      </w:pPr>
      <w:r>
        <w:rPr/>
      </w:r>
    </w:p>
    <w:p>
      <w:pPr>
        <w:pStyle w:val="Normal"/>
        <w:ind w:firstLine="720" w:end="0"/>
        <w:rPr/>
      </w:pPr>
      <w:r>
        <w:rPr/>
        <w:t>The board first approved a $106 million loan guaranty to Bechtel Enterprises of San Francisco for the privatization of Jorge Chávez International Airport in Lima. Bechtel Enterprises, the project development, financing and ownership arm of Bechtel Corporation, is partnering with Peruvian, German and Singaporean companies to undertake the privatization.</w:t>
      </w:r>
    </w:p>
    <w:p>
      <w:pPr>
        <w:pStyle w:val="Normal"/>
        <w:rPr/>
      </w:pPr>
      <w:r>
        <w:rPr/>
      </w:r>
    </w:p>
    <w:p>
      <w:pPr>
        <w:pStyle w:val="Normal"/>
        <w:ind w:firstLine="720" w:end="0"/>
        <w:rPr/>
      </w:pPr>
      <w:r>
        <w:rPr/>
        <w:t>OPIC’s loan, which will support the first three and one-half years of the first phase of privatization, will help improve the quality of existing services at the airport and further Peru’s privatization program. The project will also benefit local businesses involved in the import and export of goods, and facilitate expansion of tourism. Total cost of the first phase is $178 million.</w:t>
      </w:r>
    </w:p>
    <w:p>
      <w:pPr>
        <w:pStyle w:val="Normal"/>
        <w:rPr/>
      </w:pPr>
      <w:r>
        <w:rPr/>
      </w:r>
    </w:p>
    <w:p>
      <w:pPr>
        <w:pStyle w:val="Normal"/>
        <w:ind w:firstLine="720" w:end="0"/>
        <w:rPr/>
      </w:pPr>
      <w:r>
        <w:rPr/>
        <w:t xml:space="preserve">The Chávez airport is Peru’s largest and most active, accounting for virtually all of the international air traffic and cargo, and one-third of the domestic passengers as well. </w:t>
      </w:r>
    </w:p>
    <w:p>
      <w:pPr>
        <w:pStyle w:val="Normal"/>
        <w:rPr/>
      </w:pPr>
      <w:r>
        <w:rPr/>
      </w:r>
    </w:p>
    <w:p>
      <w:pPr>
        <w:pStyle w:val="Normal"/>
        <w:ind w:firstLine="720" w:end="0"/>
        <w:rPr/>
      </w:pPr>
      <w:r>
        <w:rPr/>
        <w:t>The project will generate a positive net impact on the US balance of payments of $51.6 million, as well as $65 million annual revenue for Peru and 70 permanent local jobs</w:t>
      </w:r>
    </w:p>
    <w:p>
      <w:pPr>
        <w:pStyle w:val="Normal"/>
        <w:rPr/>
      </w:pPr>
      <w:r>
        <w:rPr/>
      </w:r>
    </w:p>
    <w:p>
      <w:pPr>
        <w:pStyle w:val="Normal"/>
        <w:ind w:firstLine="720" w:end="0"/>
        <w:rPr/>
      </w:pPr>
      <w:r>
        <w:rPr/>
        <w:t>Next, the board approved a $190 million loan guaranty to Sociedade Fluminense de Energia, a project sponsored by Enron Corp. of Houston for the construction and operation of a 379-megawatt gas-fired power plant near Rio de Janeiro.</w:t>
      </w:r>
    </w:p>
    <w:p>
      <w:pPr>
        <w:pStyle w:val="Normal"/>
        <w:rPr/>
      </w:pPr>
      <w:r>
        <w:rPr/>
      </w:r>
    </w:p>
    <w:p>
      <w:pPr>
        <w:pStyle w:val="Normal"/>
        <w:ind w:firstLine="720" w:end="0"/>
        <w:rPr/>
      </w:pPr>
      <w:r>
        <w:rPr/>
        <w:t xml:space="preserve">The project will help alleviate Brazil’s severe electricity shortage, which has resulted in electricity rationing beginning this month and expected to continue for most of the year. With completion scheduled for October, the project will be among the first new generation plants to add critically-needed capacity to the Brazilian electrical system. </w:t>
      </w:r>
    </w:p>
    <w:p>
      <w:pPr>
        <w:pStyle w:val="Normal"/>
        <w:rPr/>
      </w:pPr>
      <w:r>
        <w:rPr/>
      </w:r>
    </w:p>
    <w:p>
      <w:pPr>
        <w:pStyle w:val="Normal"/>
        <w:ind w:firstLine="720" w:end="0"/>
        <w:rPr/>
      </w:pPr>
      <w:r>
        <w:rPr/>
        <w:t>Sociedade Fluminense de Energia, is building the plant pursuant to an agreement with Petrobras, the Brazilian state-controlled oil and gas company; and Enron Commercializadora de Energia, a subsidiary of Enron Corp., which will sell the plant’s output.</w:t>
      </w:r>
    </w:p>
    <w:p>
      <w:pPr>
        <w:pStyle w:val="Normal"/>
        <w:rPr/>
      </w:pPr>
      <w:r>
        <w:rPr/>
      </w:r>
    </w:p>
    <w:p>
      <w:pPr>
        <w:pStyle w:val="Normal"/>
        <w:ind w:firstLine="720" w:end="0"/>
        <w:rPr/>
      </w:pPr>
      <w:r>
        <w:rPr/>
        <w:t>The project will generate a positive net impact on the U.S. balance of payments of $212 million, as well as nearly $200 million in U.S. procurement. It will also create 32 permanent jobs in Brazil, and $157 million in local procurement.</w:t>
      </w:r>
    </w:p>
    <w:p>
      <w:pPr>
        <w:pStyle w:val="Normal"/>
        <w:rPr/>
      </w:pPr>
      <w:r>
        <w:rPr/>
      </w:r>
    </w:p>
    <w:p>
      <w:pPr>
        <w:pStyle w:val="Normal"/>
        <w:ind w:firstLine="720" w:end="0"/>
        <w:rPr/>
      </w:pPr>
      <w:r>
        <w:rPr/>
        <w:t>Finally, the board approved a $60 million loan guaranty for the issuance on U.S. capital markets of a $100 million senior bond by an Argentine mortgage trust, which will also issue $22 million in subordinated bonds to two Argentine banks, Banco Hipotecario (BHSA) and Banco de Credito y Securitization (BACS). Proceeds of the bond sales will be used to purchase a pool of Argentine mortgages of up to $122 million.</w:t>
      </w:r>
    </w:p>
    <w:p>
      <w:pPr>
        <w:pStyle w:val="Normal"/>
        <w:rPr/>
      </w:pPr>
      <w:r>
        <w:rPr/>
      </w:r>
    </w:p>
    <w:p>
      <w:pPr>
        <w:pStyle w:val="Normal"/>
        <w:ind w:firstLine="720" w:end="0"/>
        <w:rPr/>
      </w:pPr>
      <w:r>
        <w:rPr/>
        <w:t>The project will further the development of the Argentine secondary mortgage market, providing liquidity to Argentine banks which originate mortgages and enabling them to underwrite new mortgage loans. This process will in turn stimulate home ownership and the local residential construction industry.</w:t>
      </w:r>
    </w:p>
    <w:p>
      <w:pPr>
        <w:pStyle w:val="Normal"/>
        <w:rPr/>
      </w:pPr>
      <w:r>
        <w:rPr/>
      </w:r>
    </w:p>
    <w:p>
      <w:pPr>
        <w:pStyle w:val="Normal"/>
        <w:ind w:firstLine="720" w:end="0"/>
        <w:rPr/>
      </w:pPr>
      <w:r>
        <w:rPr/>
        <w:t>Each mortgage loan will be demoninated in U.S. dollars, and each will be required to carry property insurance provided by BHSA. BHSA is the leading mortgage bank in Argentina, providing 42 percent of residential mortgages and 28 percent of total mortgages in the country. BACS is a subsidiary of BHSA created last year to promote the growth of mortgage-backed securities in Argentina and provide liquidity to the Argentine banking system. It is the first entity of its kind in Latin America.</w:t>
      </w:r>
    </w:p>
    <w:p>
      <w:pPr>
        <w:pStyle w:val="Normal"/>
        <w:ind w:firstLine="720" w:end="0"/>
        <w:rPr/>
      </w:pPr>
      <w:r>
        <w:rPr/>
      </w:r>
    </w:p>
    <w:p>
      <w:pPr>
        <w:pStyle w:val="Normal"/>
        <w:ind w:firstLine="720" w:end="0"/>
        <w:rPr/>
      </w:pPr>
      <w:r>
        <w:rPr/>
        <w:t>“</w:t>
      </w:r>
      <w:r>
        <w:rPr/>
        <w:t>In each of these projects, OPIC is supporting the growth of the physical infrastructure necessary for the economic development of our partners in emerging markets,” said OPIC President and CEO Peter S. Watson. “Promoting first-class transportation, power generation and homeownership not only assists the development Peru, Brazil and Argentina, but sends a strong message of confidence in the investment climate of each country to U.S. investors.”</w:t>
      </w:r>
    </w:p>
    <w:p>
      <w:pPr>
        <w:pStyle w:val="Normal"/>
        <w:rPr/>
      </w:pPr>
      <w:r>
        <w:rPr/>
      </w:r>
    </w:p>
    <w:p>
      <w:pPr>
        <w:pStyle w:val="BodyTextIndent"/>
        <w:rPr/>
      </w:pPr>
      <w:r>
        <w:rPr/>
        <w:t>OPIC’s political risk insurance and financing help U.S. businesses of all sizes invest and compete in 140 emerging markets and developing nations worldwide. By charging user-fees, OPIC, a U.S. government agency, operates at no net cost to U.S. taxpayers. OPIC has earned a profit in each year of operations -- $185 million in 2000 - and its reserves currently stand at more than $4 billion.</w:t>
      </w:r>
    </w:p>
    <w:p>
      <w:pPr>
        <w:pStyle w:val="BodyTextIndent"/>
        <w:rPr/>
      </w:pPr>
      <w:r>
        <w:rPr/>
      </w:r>
    </w:p>
    <w:p>
      <w:pPr>
        <w:pStyle w:val="BodyTextIndent"/>
        <w:rPr/>
      </w:pPr>
      <w:r>
        <w:rPr/>
        <w:t>Over the agency’s 30-year history, OPIC has supported $138 billion worth of investments that will generate $63.6 billion in U.S. exports and create nearly 250,000 American jobs.  OPIC projects have also helped developing countries to generate over $10 billion in host-government revenues and create nearly 668,000 host-country jobs.</w:t>
      </w:r>
    </w:p>
    <w:p>
      <w:pPr>
        <w:pStyle w:val="BodyTextIndent"/>
        <w:rPr/>
      </w:pPr>
      <w:r>
        <w:rPr/>
      </w:r>
    </w:p>
    <w:p>
      <w:pPr>
        <w:pStyle w:val="BodyTextIndent"/>
        <w:rPr/>
      </w:pPr>
      <w:r>
        <w:rPr/>
      </w:r>
    </w:p>
    <w:p>
      <w:pPr>
        <w:pStyle w:val="PlainText"/>
        <w:jc w:val="center"/>
        <w:rPr>
          <w:rFonts w:ascii="Times New Roman" w:hAnsi="Times New Roman" w:cs="Times New Roman"/>
          <w:sz w:val="24"/>
        </w:rPr>
      </w:pPr>
      <w:r>
        <w:rPr>
          <w:rFonts w:cs="Times New Roman" w:ascii="Times New Roman" w:hAnsi="Times New Roman"/>
          <w:sz w:val="24"/>
        </w:rPr>
        <w:t xml:space="preserve">Visit OPIC on the web at </w:t>
      </w:r>
      <w:hyperlink r:id="rId3">
        <w:r>
          <w:rPr>
            <w:rStyle w:val="Hyperlink"/>
            <w:rFonts w:cs="Times New Roman" w:ascii="Times New Roman" w:hAnsi="Times New Roman"/>
            <w:color w:val="0000FF"/>
            <w:sz w:val="24"/>
            <w:u w:val="single"/>
          </w:rPr>
          <w:t>www.opic.gov</w:t>
        </w:r>
      </w:hyperlink>
    </w:p>
    <w:p>
      <w:pPr>
        <w:pStyle w:val="PlainText"/>
        <w:ind w:firstLine="72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sz w:val="32"/>
      <w:u w:val="single"/>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Header">
    <w:name w:val="Memo Header"/>
    <w:basedOn w:val="Normal"/>
    <w:qFormat/>
    <w:pPr>
      <w:tabs>
        <w:tab w:val="clear" w:pos="720"/>
        <w:tab w:val="left" w:pos="1440" w:leader="none"/>
      </w:tabs>
      <w:jc w:val="both"/>
    </w:pPr>
    <w:rPr/>
  </w:style>
  <w:style w:type="paragraph" w:styleId="PlainText">
    <w:name w:val="Plain Text"/>
    <w:basedOn w:val="Normal"/>
    <w:qFormat/>
    <w:pPr/>
    <w:rPr>
      <w:rFonts w:ascii="Courier New" w:hAnsi="Courier New" w:cs="Courier New"/>
      <w:color w:val="auto"/>
      <w:sz w:val="20"/>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opic.gov/"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2001-06-19T18:06:00Z</dcterms:created>
  <dc:creator>Jeremy Butler</dc:creator>
  <dc:description/>
  <dc:language>en-CA</dc:language>
  <cp:lastModifiedBy>rdutt</cp:lastModifiedBy>
  <cp:lastPrinted>2001-06-18T16:05:00Z</cp:lastPrinted>
  <dcterms:modified xsi:type="dcterms:W3CDTF">2001-06-19T18:06:00Z</dcterms:modified>
  <cp:revision>2</cp:revision>
  <dc:subject/>
  <dc:title>Privatization of Peru’s largest airport </dc:title>
</cp:coreProperties>
</file>