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017725752"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30,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0" w:after="0"/>
        <w:jc w:val="both"/>
        <w:rPr>
          <w:color w:val="auto"/>
        </w:rPr>
      </w:pPr>
      <w:r>
        <w:rPr>
          <w:color w:val="auto"/>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t>Timing and structure of Back-up Fuel Supply Agreement, put to Enron (Agreement and Guarantee), and Replacement Fuel Contract.</w:t>
      </w:r>
    </w:p>
    <w:p>
      <w:pPr>
        <w:pStyle w:val="BodyText2"/>
        <w:bidi w:val="0"/>
        <w:spacing w:before="0" w:after="0"/>
        <w:jc w:val="both"/>
        <w:rPr>
          <w:color w:val="auto"/>
        </w:rPr>
      </w:pPr>
      <w:r>
        <w:rPr>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b w:val="false"/>
          <w:color w:val="auto"/>
        </w:rPr>
      </w:pPr>
      <w:r>
        <w:rPr>
          <w:b w:val="false"/>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long-term gas supply arrangement similar to the YPF arrangement.</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b w:val="false"/>
          <w:color w:val="auto"/>
        </w:rPr>
      </w:pPr>
      <w:r>
        <w:rPr>
          <w:b w:val="false"/>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By March 31, 2002 Lenders to complete evaluation of Replacement arrangements and indicate acceptance or rejection.</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b w:val="false"/>
          <w:color w:val="auto"/>
        </w:rPr>
      </w:pPr>
      <w:r>
        <w:rPr>
          <w:b w:val="false"/>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color w:val="auto"/>
        </w:rPr>
      </w:pPr>
      <w:r>
        <w:rPr>
          <w:color w:val="auto"/>
        </w:rPr>
        <w:t>Current status of YPF CP’s</w:t>
      </w:r>
    </w:p>
    <w:p>
      <w:pPr>
        <w:pStyle w:val="BodyText2"/>
        <w:bidi w:val="0"/>
        <w:spacing w:before="0" w:after="0"/>
        <w:ind w:hanging="360" w:start="360"/>
        <w:jc w:val="both"/>
        <w:rPr>
          <w:b w:val="false"/>
          <w:color w:val="auto"/>
        </w:rPr>
      </w:pPr>
      <w:r>
        <w:rPr>
          <w:b w:val="false"/>
          <w:color w:val="auto"/>
        </w:rPr>
      </w:r>
    </w:p>
    <w:p>
      <w:pPr>
        <w:pStyle w:val="Normal"/>
        <w:bidi w:val="0"/>
        <w:ind w:hanging="640" w:start="640"/>
        <w:jc w:val="start"/>
        <w:rPr>
          <w:rFonts w:ascii="Arial" w:hAnsi="Arial"/>
          <w:i/>
          <w:i/>
          <w:color w:val="000000"/>
          <w:sz w:val="24"/>
        </w:rPr>
      </w:pPr>
      <w:r>
        <w:rPr>
          <w:rFonts w:ascii="Arial" w:hAnsi="Arial"/>
          <w:i/>
          <w:color w:val="000000"/>
          <w:sz w:val="24"/>
        </w:rPr>
        <w:t>Under the GSA the project has a unilateral right to terminate if:</w:t>
      </w:r>
    </w:p>
    <w:p>
      <w:pPr>
        <w:pStyle w:val="Normal"/>
        <w:numPr>
          <w:ilvl w:val="0"/>
          <w:numId w:val="2"/>
        </w:numPr>
        <w:tabs>
          <w:tab w:val="clear" w:pos="720"/>
          <w:tab w:val="left" w:pos="360" w:leader="none"/>
        </w:tabs>
        <w:bidi w:val="0"/>
        <w:jc w:val="start"/>
        <w:rPr>
          <w:rFonts w:ascii="Arial" w:hAnsi="Arial"/>
          <w:color w:val="000000"/>
          <w:sz w:val="24"/>
        </w:rPr>
      </w:pPr>
      <w:r>
        <w:rPr>
          <w:rFonts w:ascii="Arial" w:hAnsi="Arial"/>
          <w:color w:val="000000"/>
          <w:sz w:val="24"/>
        </w:rPr>
        <w:t>YPF fails to meet it’s CP’s [remaining CP is Consent to Assignment and Opinion of Counsel</w:t>
      </w:r>
    </w:p>
    <w:p>
      <w:pPr>
        <w:pStyle w:val="Normal"/>
        <w:numPr>
          <w:ilvl w:val="0"/>
          <w:numId w:val="2"/>
        </w:numPr>
        <w:bidi w:val="0"/>
        <w:ind w:hanging="360" w:start="360" w:end="-450"/>
        <w:jc w:val="start"/>
        <w:rPr>
          <w:rFonts w:ascii="Arial" w:hAnsi="Arial"/>
          <w:color w:val="000000"/>
          <w:sz w:val="24"/>
        </w:rPr>
      </w:pPr>
      <w:r>
        <w:rPr>
          <w:rFonts w:ascii="Arial" w:hAnsi="Arial"/>
          <w:color w:val="000000"/>
          <w:sz w:val="24"/>
        </w:rPr>
        <w:t>Failure of Plant to achieve Substantial Completion (480 MW on gas) by May 4, 2001</w:t>
      </w:r>
    </w:p>
    <w:p>
      <w:pPr>
        <w:pStyle w:val="Normal"/>
        <w:numPr>
          <w:ilvl w:val="0"/>
          <w:numId w:val="2"/>
        </w:numPr>
        <w:tabs>
          <w:tab w:val="clear" w:pos="720"/>
          <w:tab w:val="left" w:pos="360" w:leader="none"/>
        </w:tabs>
        <w:bidi w:val="0"/>
        <w:jc w:val="start"/>
        <w:rPr>
          <w:rFonts w:ascii="Arial" w:hAnsi="Arial"/>
          <w:sz w:val="24"/>
        </w:rPr>
      </w:pPr>
      <w:r>
        <w:rPr>
          <w:rFonts w:ascii="Arial" w:hAnsi="Arial"/>
          <w:sz w:val="24"/>
        </w:rPr>
        <w:t>Failure of project to close non-recourse project financing by May 4, 2001</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color w:val="auto"/>
        </w:rPr>
      </w:pPr>
      <w:r>
        <w:rPr>
          <w:color w:val="auto"/>
        </w:rPr>
        <w:t>Proposed Modifications to GSA</w:t>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b w:val="false"/>
          <w:color w:val="auto"/>
        </w:rPr>
      </w:pPr>
      <w:r>
        <w:rPr>
          <w:b w:val="false"/>
          <w:color w:val="auto"/>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3"/>
        </w:numPr>
        <w:bidi w:val="0"/>
        <w:jc w:val="start"/>
        <w:rPr>
          <w:rFonts w:ascii="Arial" w:hAnsi="Arial"/>
          <w:color w:val="000000"/>
          <w:sz w:val="24"/>
        </w:rPr>
      </w:pPr>
      <w:r>
        <w:rPr>
          <w:rFonts w:ascii="Arial" w:hAnsi="Arial"/>
          <w:color w:val="000000"/>
          <w:sz w:val="24"/>
        </w:rPr>
        <w:t>lower price    (current market is approximately US$1.00 per mmcf vs contract price of US$1.30)</w:t>
      </w:r>
    </w:p>
    <w:p>
      <w:pPr>
        <w:pStyle w:val="Normal"/>
        <w:numPr>
          <w:ilvl w:val="0"/>
          <w:numId w:val="3"/>
        </w:numPr>
        <w:bidi w:val="0"/>
        <w:jc w:val="start"/>
        <w:rPr>
          <w:rFonts w:ascii="Arial" w:hAnsi="Arial"/>
          <w:color w:val="000000"/>
          <w:sz w:val="24"/>
        </w:rPr>
      </w:pPr>
      <w:r>
        <w:rPr>
          <w:rFonts w:ascii="Arial" w:hAnsi="Arial"/>
          <w:color w:val="000000"/>
          <w:sz w:val="24"/>
        </w:rPr>
        <w:t xml:space="preserve">eliminate WTI/CPI basis risk (&amp; GPDA) ; the GSA adjusts based on shifts in WTI whereas the PPA adjusts based on shifts in the US CPI. Enron &amp; Shell have shouldered this </w:t>
      </w:r>
    </w:p>
    <w:p>
      <w:pPr>
        <w:pStyle w:val="Normal"/>
        <w:numPr>
          <w:ilvl w:val="0"/>
          <w:numId w:val="3"/>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color w:val="auto"/>
        </w:rPr>
      </w:pPr>
      <w:r>
        <w:rPr>
          <w:color w:val="auto"/>
        </w:rPr>
        <w:t xml:space="preserve">Potential Bolivian Supplies </w:t>
      </w:r>
    </w:p>
    <w:p>
      <w:pPr>
        <w:pStyle w:val="BodyText2"/>
        <w:bidi w:val="0"/>
        <w:spacing w:before="0" w:after="0"/>
        <w:ind w:hanging="360" w:start="360"/>
        <w:jc w:val="both"/>
        <w:rPr>
          <w:color w:val="auto"/>
        </w:rPr>
      </w:pPr>
      <w:r>
        <w:rPr>
          <w:color w:val="auto"/>
        </w:rPr>
      </w:r>
    </w:p>
    <w:p>
      <w:pPr>
        <w:pStyle w:val="BodyText2"/>
        <w:bidi w:val="0"/>
        <w:spacing w:before="0" w:after="0"/>
        <w:jc w:val="both"/>
        <w:rPr>
          <w:color w:val="auto"/>
        </w:rPr>
      </w:pPr>
      <w:r>
        <w:rPr>
          <w:color w:val="auto"/>
        </w:rPr>
        <w:t>Vintage Cuiaba II transaction with Vintage</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As an example of what can be accomplished in the market place,    Enron successfully negotiated a contract last year with Vintage with the following terms.</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t xml:space="preserve">In addition, the Sponsors request that the Lenders consider an alternate approach to the Furnas Consent to assignment and the Eletrobras Guarantee confirmation.    </w:t>
      </w:r>
    </w:p>
    <w:p>
      <w:pPr>
        <w:pStyle w:val="BodyText2"/>
        <w:bidi w:val="0"/>
        <w:spacing w:before="0" w:after="0"/>
        <w:jc w:val="both"/>
        <w:rPr>
          <w:color w:val="auto"/>
        </w:rPr>
      </w:pPr>
      <w:r>
        <w:rPr>
          <w:color w:val="auto"/>
        </w:rPr>
      </w:r>
    </w:p>
    <w:p>
      <w:pPr>
        <w:pStyle w:val="BodyText2"/>
        <w:bidi w:val="0"/>
        <w:spacing w:before="0" w:after="0"/>
        <w:jc w:val="both"/>
        <w:rPr>
          <w:b w:val="false"/>
          <w:color w:val="auto"/>
        </w:rPr>
      </w:pPr>
      <w:r>
        <w:rPr>
          <w:b w:val="false"/>
          <w:color w:val="auto"/>
        </w:rPr>
        <w:t>Currently, the lenders are awaiting Furnas’ execution of a heavily negotiated Consent and a confirmation from Eletrobras that their guarantee would remain effective in the event of the privatization of Furnas.</w:t>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t>The alternate approach to getting comfortable would consist of the following:</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Step 1:</w:t>
      </w:r>
    </w:p>
    <w:p>
      <w:pPr>
        <w:pStyle w:val="BodyText2"/>
        <w:bidi w:val="0"/>
        <w:spacing w:before="0" w:after="0"/>
        <w:jc w:val="both"/>
        <w:rPr>
          <w:b w:val="false"/>
          <w:color w:val="auto"/>
        </w:rPr>
      </w:pPr>
      <w:r>
        <w:rPr>
          <w:b w:val="false"/>
          <w:color w:val="auto"/>
        </w:rPr>
      </w:r>
    </w:p>
    <w:p>
      <w:pPr>
        <w:pStyle w:val="BodyText2"/>
        <w:numPr>
          <w:ilvl w:val="0"/>
          <w:numId w:val="5"/>
        </w:numPr>
        <w:tabs>
          <w:tab w:val="clear" w:pos="720"/>
          <w:tab w:val="left" w:pos="360" w:leader="none"/>
        </w:tabs>
        <w:bidi w:val="0"/>
        <w:spacing w:before="0" w:after="0"/>
        <w:jc w:val="both"/>
        <w:rPr>
          <w:b w:val="false"/>
          <w:color w:val="auto"/>
        </w:rPr>
      </w:pPr>
      <w:r>
        <w:rPr>
          <w:b w:val="false"/>
          <w:color w:val="auto"/>
        </w:rPr>
        <w:t xml:space="preserve">Attempt to get Eletrobras to confirm their guarantee without involving Furnas.    </w:t>
      </w:r>
    </w:p>
    <w:p>
      <w:pPr>
        <w:pStyle w:val="BodyText2"/>
        <w:bidi w:val="0"/>
        <w:spacing w:before="0" w:after="0"/>
        <w:jc w:val="both"/>
        <w:rPr>
          <w:b w:val="false"/>
          <w:color w:val="auto"/>
        </w:rPr>
      </w:pPr>
      <w:r>
        <w:rPr>
          <w:b w:val="false"/>
          <w:color w:val="auto"/>
        </w:rPr>
      </w:r>
    </w:p>
    <w:p>
      <w:pPr>
        <w:pStyle w:val="BodyText2"/>
        <w:numPr>
          <w:ilvl w:val="0"/>
          <w:numId w:val="5"/>
        </w:numPr>
        <w:tabs>
          <w:tab w:val="clear" w:pos="720"/>
          <w:tab w:val="left" w:pos="360" w:leader="none"/>
        </w:tabs>
        <w:bidi w:val="0"/>
        <w:spacing w:before="0" w:after="0"/>
        <w:jc w:val="both"/>
        <w:rPr>
          <w:b w:val="false"/>
          <w:color w:val="auto"/>
        </w:rPr>
      </w:pPr>
      <w:r>
        <w:rPr>
          <w:b w:val="false"/>
        </w:rPr>
        <w:t>Attempt to get Furnas to sign the original Consent from Assumption Agreement and if they refuse r</w:t>
      </w:r>
      <w:r>
        <w:rPr>
          <w:b w:val="false"/>
          <w:color w:val="auto"/>
        </w:rPr>
        <w:t xml:space="preserve">ely on Eletrobras’ performance guarantee under section [        ]      of the PPA in lieu of the Furnas consent.    </w:t>
      </w:r>
    </w:p>
    <w:p>
      <w:pPr>
        <w:pStyle w:val="BodyText2"/>
        <w:bidi w:val="0"/>
        <w:spacing w:before="0" w:after="0"/>
        <w:jc w:val="both"/>
        <w:rPr>
          <w:b w:val="false"/>
          <w:color w:val="auto"/>
        </w:rPr>
      </w:pPr>
      <w:r>
        <w:rPr>
          <w:b w:val="false"/>
          <w:color w:val="auto"/>
        </w:rPr>
      </w:r>
    </w:p>
    <w:p>
      <w:pPr>
        <w:pStyle w:val="Normal"/>
        <w:numPr>
          <w:ilvl w:val="0"/>
          <w:numId w:val="5"/>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Step 2: (If Step 1 fails)</w:t>
      </w:r>
    </w:p>
    <w:p>
      <w:pPr>
        <w:pStyle w:val="BodyText2"/>
        <w:bidi w:val="0"/>
        <w:spacing w:before="0" w:after="0"/>
        <w:jc w:val="both"/>
        <w:rPr>
          <w:b w:val="false"/>
          <w:color w:val="auto"/>
        </w:rPr>
      </w:pPr>
      <w:r>
        <w:rPr>
          <w:b w:val="false"/>
          <w:color w:val="auto"/>
        </w:rPr>
      </w:r>
    </w:p>
    <w:p>
      <w:pPr>
        <w:pStyle w:val="BodyText2"/>
        <w:numPr>
          <w:ilvl w:val="0"/>
          <w:numId w:val="4"/>
        </w:numPr>
        <w:tabs>
          <w:tab w:val="clear" w:pos="720"/>
          <w:tab w:val="left" w:pos="360" w:leader="none"/>
        </w:tabs>
        <w:bidi w:val="0"/>
        <w:jc w:val="start"/>
        <w:rPr>
          <w:b w:val="false"/>
        </w:rPr>
      </w:pPr>
      <w:r>
        <w:rPr>
          <w:b w:val="false"/>
        </w:rPr>
        <w:t xml:space="preserve">Consider    3rd Party Professor’s Legal Brief on the sustainability of the Eletrobras Guarantee    obligations following a Furnas privatization.    Enron has engaged a respected legal academician to review the integrity of the Eletrobras Guarantee in light of the legislation which Maria Apericida claims has impacted their obligations. The conclusion was that legislation subsequent would not be able to impair the obligations.    If Felsberg and other Lenders counsel can get comfortable that the courts would concur, then perhaps the seriousness of the concerns are greatly diminished. </w:t>
      </w:r>
    </w:p>
    <w:p>
      <w:pPr>
        <w:pStyle w:val="BodyText2"/>
        <w:bidi w:val="0"/>
        <w:jc w:val="start"/>
        <w:rPr>
          <w:b w:val="false"/>
        </w:rPr>
      </w:pPr>
      <w:r>
        <w:rPr>
          <w:b w:val="false"/>
        </w:rPr>
      </w:r>
    </w:p>
    <w:p>
      <w:pPr>
        <w:pStyle w:val="BodyText2"/>
        <w:numPr>
          <w:ilvl w:val="0"/>
          <w:numId w:val="4"/>
        </w:numPr>
        <w:tabs>
          <w:tab w:val="clear" w:pos="720"/>
          <w:tab w:val="left" w:pos="360" w:leader="none"/>
        </w:tabs>
        <w:bidi w:val="0"/>
        <w:jc w:val="start"/>
        <w:rPr>
          <w:b w:val="false"/>
        </w:rPr>
      </w:pPr>
      <w:r>
        <w:rPr>
          <w:b w:val="false"/>
        </w:rPr>
        <w:t>(review similarities of situation for EXIM &amp; IADB in Mexico in CFE transactions)</w:t>
      </w:r>
    </w:p>
    <w:p>
      <w:pPr>
        <w:pStyle w:val="Normal"/>
        <w:bidi w:val="0"/>
        <w:jc w:val="start"/>
        <w:rPr>
          <w:rFonts w:ascii="Arial" w:hAnsi="Arial"/>
          <w:color w:val="000000"/>
          <w:sz w:val="24"/>
        </w:rPr>
      </w:pPr>
      <w:r>
        <w:rPr>
          <w:rFonts w:ascii="Arial" w:hAnsi="Arial"/>
          <w:color w:val="000000"/>
          <w:sz w:val="24"/>
        </w:rPr>
      </w:r>
    </w:p>
    <w:p>
      <w:pPr>
        <w:pStyle w:val="BodyText2"/>
        <w:numPr>
          <w:ilvl w:val="0"/>
          <w:numId w:val="4"/>
        </w:numPr>
        <w:tabs>
          <w:tab w:val="clear" w:pos="720"/>
          <w:tab w:val="left" w:pos="360" w:leader="none"/>
        </w:tabs>
        <w:bidi w:val="0"/>
        <w:spacing w:before="0" w:after="0"/>
        <w:jc w:val="both"/>
        <w:rPr>
          <w:b w:val="false"/>
          <w:color w:val="auto"/>
        </w:rPr>
      </w:pPr>
      <w:r>
        <w:rPr>
          <w:b w:val="false"/>
        </w:rPr>
        <w:t>R</w:t>
      </w:r>
      <w:r>
        <w:rPr>
          <w:b w:val="false"/>
          <w:color w:val="auto"/>
        </w:rPr>
        <w:t>ely on Eletrobras’ performance guarantee under section [        ]      of the PPA in lieu of the Furnas consent.</w:t>
      </w:r>
    </w:p>
    <w:p>
      <w:pPr>
        <w:pStyle w:val="BodyText2"/>
        <w:bidi w:val="0"/>
        <w:spacing w:before="0" w:after="0"/>
        <w:jc w:val="both"/>
        <w:rPr>
          <w:b w:val="false"/>
        </w:rPr>
      </w:pPr>
      <w:r>
        <w:rPr>
          <w:b w:val="false"/>
        </w:rPr>
      </w:r>
    </w:p>
    <w:p>
      <w:pPr>
        <w:pStyle w:val="Normal"/>
        <w:numPr>
          <w:ilvl w:val="0"/>
          <w:numId w:val="4"/>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Siemens Changes</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We are nearing the final agreement with Siemens as follows:</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Normal"/>
        <w:bidi w:val="0"/>
        <w:spacing w:lineRule="atLeast" w:line="240"/>
        <w:jc w:val="start"/>
        <w:rPr>
          <w:rFonts w:ascii="Arial" w:hAnsi="Arial"/>
          <w:color w:val="000000"/>
          <w:sz w:val="24"/>
        </w:rPr>
      </w:pPr>
      <w:r>
        <w:rPr>
          <w:rFonts w:ascii="Arial" w:hAnsi="Arial"/>
          <w:sz w:val="24"/>
        </w:rPr>
        <w:t xml:space="preserve">In order to provide the lenders an adequate warranty period on gas (if there are additional delays on the P/L) our Insurance group has </w:t>
      </w:r>
      <w:r>
        <w:rPr>
          <w:rFonts w:ascii="Arial" w:hAnsi="Arial"/>
          <w:color w:val="000000"/>
          <w:sz w:val="24"/>
        </w:rPr>
        <w:t xml:space="preserve"> indicated that we will have no problem obtaining 12 months renewable business interruption insurance when we go operational on gas.    This should solve the issue over the revised warranty with Siemens because it covers defects, design, and workmanship on the turbines and includes lost profits, etc.    Incidentally, for insurance purposes the turbines are designated DE3 which is not a new technology designation.      The duration of BI coverage is 18 months per event with US$150,000 deductible.</w:t>
      </w:r>
    </w:p>
    <w:p>
      <w:pPr>
        <w:pStyle w:val="Normal"/>
        <w:bidi w:val="0"/>
        <w:spacing w:lineRule="atLeast" w:line="240"/>
        <w:jc w:val="start"/>
        <w:rPr>
          <w:rFonts w:ascii="Arial" w:hAnsi="Arial"/>
          <w:color w:val="000000"/>
          <w:sz w:val="24"/>
        </w:rPr>
      </w:pPr>
      <w:r>
        <w:rPr>
          <w:rFonts w:ascii="Arial" w:hAnsi="Arial"/>
          <w:color w:val="000000"/>
          <w:sz w:val="24"/>
        </w:rPr>
        <w:t>Typically we will always have this coverage in place but if their is a supplier warranty then the party providing the warranty pays ahead of the insurer.    In the case where the supplier does not pay or the warranty has ended then the insurer is the primary.</w:t>
      </w:r>
    </w:p>
    <w:p>
      <w:pPr>
        <w:pStyle w:val="Normal"/>
        <w:bidi w:val="0"/>
        <w:spacing w:lineRule="atLeast" w:line="240"/>
        <w:jc w:val="start"/>
        <w:rPr>
          <w:rFonts w:ascii="Arial" w:hAnsi="Arial"/>
          <w:color w:val="000000"/>
          <w:sz w:val="24"/>
        </w:rPr>
      </w:pPr>
      <w:r>
        <w:rPr>
          <w:rFonts w:ascii="Arial" w:hAnsi="Arial"/>
          <w:color w:val="000000"/>
          <w:sz w:val="24"/>
        </w:rPr>
      </w:r>
    </w:p>
    <w:p>
      <w:pPr>
        <w:pStyle w:val="BodyText2"/>
        <w:bidi w:val="0"/>
        <w:spacing w:before="0" w:after="0"/>
        <w:jc w:val="both"/>
        <w:rPr>
          <w:color w:val="auto"/>
        </w:rPr>
      </w:pPr>
      <w:r>
        <w:rPr>
          <w:color w:val="auto"/>
        </w:rPr>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pPr>
    <w:rPr>
      <w:rFonts w:ascii="Arial" w:hAnsi="Arial"/>
      <w:b/>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792</Words>
  <Characters>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2001-01-31T12:27:00Z</dcterms:modified>
  <cp:revision>17</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