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 xml:space="preserve">is made and entered into as of this ____ day of ___________, 1999 (this “Agreement”), by an between </w:t>
      </w:r>
      <w:r>
        <w:rPr>
          <w:b/>
        </w:rPr>
        <w:t>ENRON CAPITAL &amp; TRADE RESOURCES, CORP</w:t>
      </w:r>
      <w:r>
        <w:rPr/>
        <w:t>., a Delaware corporation (“Owner”) and, ______________________a _____________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Owner owns certain Compressor Motor Facilities (defined below), which shall be located at the ____________________ located on Operator’s ____________ Lateral in _________________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Owner desires Operator, as agent for Owner,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as agent for Owner, to operate and maintain the Compressor Motor Facilities in accordance with the terms and conditions set forth in this Agreement; and</w:t>
      </w:r>
    </w:p>
    <w:p>
      <w:pPr>
        <w:pStyle w:val="Normal"/>
        <w:jc w:val="both"/>
        <w:rPr/>
      </w:pPr>
      <w:r>
        <w:rPr/>
      </w:r>
    </w:p>
    <w:p>
      <w:pPr>
        <w:pStyle w:val="Normal"/>
        <w:jc w:val="both"/>
        <w:rPr/>
      </w:pPr>
      <w:r>
        <w:rPr/>
        <w:tab/>
        <w:t>WHEREAS, Owner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pPr>
      <w:r>
        <w:rPr/>
        <w:t>ARTICLE 1.</w:t>
      </w:r>
    </w:p>
    <w:p>
      <w:pPr>
        <w:pStyle w:val="Heading1"/>
        <w:ind w:hanging="0" w:start="0"/>
        <w:rPr/>
      </w:pPr>
      <w:r>
        <w:rPr/>
        <w:t>DEFINITIONS</w:t>
      </w:r>
    </w:p>
    <w:p>
      <w:pPr>
        <w:pStyle w:val="Normal"/>
        <w:jc w:val="center"/>
        <w:rPr/>
      </w:pPr>
      <w:r>
        <w:rPr/>
      </w:r>
    </w:p>
    <w:p>
      <w:pPr>
        <w:pStyle w:val="BodyText"/>
        <w:rPr/>
      </w:pPr>
      <w:r>
        <w:rPr/>
        <w:tab/>
        <w:t>As used in this Agreement, the above terms shall have the above meanings and the following terms shall have the meanings set forth below.  All references herein to laws shall include such laws, as amended and in effect from time to time, including successor legislations thereof, and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1.1</w:t>
        <w:tab/>
        <w:t>“Annual Capital Budget” is defined in Section 2.2 of this Agreement.</w:t>
      </w:r>
    </w:p>
    <w:p>
      <w:pPr>
        <w:pStyle w:val="Normal"/>
        <w:jc w:val="both"/>
        <w:rPr/>
      </w:pPr>
      <w:r>
        <w:rPr/>
      </w:r>
    </w:p>
    <w:p>
      <w:pPr>
        <w:pStyle w:val="Normal"/>
        <w:jc w:val="both"/>
        <w:rPr/>
      </w:pPr>
      <w:r>
        <w:rPr/>
        <w:tab/>
        <w:t>1.2</w:t>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1.3</w:t>
        <w:tab/>
        <w:t>“Compression Services Agreement” means that certain Compression Services Agreement  dated as of _________________ by and between Owner and Operator.</w:t>
      </w:r>
    </w:p>
    <w:p>
      <w:pPr>
        <w:pStyle w:val="Normal"/>
        <w:jc w:val="both"/>
        <w:rPr/>
      </w:pPr>
      <w:r>
        <w:rPr/>
      </w:r>
    </w:p>
    <w:p>
      <w:pPr>
        <w:pStyle w:val="Normal"/>
        <w:jc w:val="both"/>
        <w:rPr/>
      </w:pPr>
      <w:r>
        <w:rPr/>
        <w:tab/>
        <w:t>1.4</w:t>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jc w:val="both"/>
        <w:rPr/>
      </w:pPr>
      <w:r>
        <w:rPr/>
        <w:tab/>
        <w:t>1.5</w:t>
        <w:tab/>
        <w:t>“Good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1.6</w:t>
        <w:tab/>
        <w:t>“HP Capacity” is defined in the Compression Services Agreement.</w:t>
      </w:r>
    </w:p>
    <w:p>
      <w:pPr>
        <w:pStyle w:val="Normal"/>
        <w:jc w:val="both"/>
        <w:rPr/>
      </w:pPr>
      <w:r>
        <w:rPr/>
      </w:r>
    </w:p>
    <w:p>
      <w:pPr>
        <w:pStyle w:val="Normal"/>
        <w:jc w:val="both"/>
        <w:rPr/>
      </w:pPr>
      <w:r>
        <w:rPr/>
        <w:tab/>
        <w:t>1.7</w:t>
        <w:tab/>
        <w:t>“HP-Hours” is defined in the Compression Services Agreement.</w:t>
      </w:r>
    </w:p>
    <w:p>
      <w:pPr>
        <w:pStyle w:val="Normal"/>
        <w:jc w:val="both"/>
        <w:rPr/>
      </w:pPr>
      <w:r>
        <w:rPr/>
      </w:r>
    </w:p>
    <w:p>
      <w:pPr>
        <w:pStyle w:val="Normal"/>
        <w:jc w:val="both"/>
        <w:rPr/>
      </w:pPr>
      <w:r>
        <w:rPr/>
        <w:tab/>
        <w:t>1.8</w:t>
        <w:tab/>
        <w:t>“Test Date” means the day after energy is first able to be provided to the Compressor Station.</w:t>
      </w:r>
    </w:p>
    <w:p>
      <w:pPr>
        <w:pStyle w:val="Normal"/>
        <w:jc w:val="both"/>
        <w:rPr/>
      </w:pPr>
      <w:r>
        <w:rPr/>
      </w:r>
    </w:p>
    <w:p>
      <w:pPr>
        <w:pStyle w:val="Normal"/>
        <w:jc w:val="center"/>
        <w:rPr/>
      </w:pPr>
      <w:r>
        <w:rPr/>
        <w:t>ARTICLE 2.</w:t>
      </w:r>
    </w:p>
    <w:p>
      <w:pPr>
        <w:pStyle w:val="Heading1"/>
        <w:ind w:hanging="0" w:start="0"/>
        <w:rPr/>
      </w:pPr>
      <w:r>
        <w:rPr/>
        <w:t>SERVICES PROVIDED</w:t>
      </w:r>
    </w:p>
    <w:p>
      <w:pPr>
        <w:pStyle w:val="Normal"/>
        <w:jc w:val="center"/>
        <w:rPr/>
      </w:pPr>
      <w:r>
        <w:rPr/>
      </w:r>
    </w:p>
    <w:p>
      <w:pPr>
        <w:pStyle w:val="Normal"/>
        <w:jc w:val="both"/>
        <w:rPr/>
      </w:pPr>
      <w:r>
        <w:rPr/>
        <w:tab/>
        <w:t>2.1</w:t>
        <w:tab/>
      </w:r>
      <w:r>
        <w:rPr>
          <w:u w:val="single"/>
        </w:rPr>
        <w:t>Responsibilities of Operator</w:t>
      </w:r>
      <w:r>
        <w:rPr/>
        <w:t xml:space="preserve">.  Commencing upon the Test Date, Operator shall, as agent for Owner,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applicable federal or state agency rules or regulations and (iii) this Agreement.  Operator shall have access to, and Owner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as agent for Owner, provide the following services relative to the Compressor Motor Facilities:</w:t>
      </w:r>
    </w:p>
    <w:p>
      <w:pPr>
        <w:pStyle w:val="Normal"/>
        <w:jc w:val="both"/>
        <w:rPr>
          <w:u w:val="single"/>
        </w:rPr>
      </w:pPr>
      <w:r>
        <w:rPr>
          <w:u w:val="single"/>
        </w:rPr>
      </w:r>
    </w:p>
    <w:p>
      <w:pPr>
        <w:pStyle w:val="Normal"/>
        <w:jc w:val="both"/>
        <w:rPr/>
      </w:pPr>
      <w:r>
        <w:rPr/>
        <w:tab/>
        <w:t>(a)</w:t>
        <w:tab/>
      </w:r>
      <w:r>
        <w:rPr>
          <w:u w:val="single"/>
        </w:rPr>
        <w:t>Operation and Maintenance Services</w:t>
      </w:r>
      <w:r>
        <w:rPr/>
        <w:t>.  Operator shall, in accordance with Good Industry Practice, at its sole cost and expense, procure and furnish all materials, equipment, services, supplies, and labor necessary for the routine operation and maintenance of the Compressor Motor Facilities in accordance with all material agreements and all applicable laws, rules and regulations, insurance policies and permits pertaining to the Compressor Motor Facilities and the Compressor Station.  Without limiting the general authority provided above, Operator shall have the right and duty to do (or cause to be done) the following on behalf of Owner:</w:t>
      </w:r>
    </w:p>
    <w:p>
      <w:pPr>
        <w:pStyle w:val="Normal"/>
        <w:jc w:val="both"/>
        <w:rPr>
          <w:u w:val="single"/>
        </w:rPr>
      </w:pPr>
      <w:r>
        <w:rPr>
          <w:u w:val="single"/>
        </w:rPr>
      </w:r>
    </w:p>
    <w:p>
      <w:pPr>
        <w:pStyle w:val="Normal"/>
        <w:jc w:val="both"/>
        <w:rPr/>
      </w:pPr>
      <w:r>
        <w:rPr/>
        <w:tab/>
        <w:t>(i)</w:t>
        <w:tab/>
        <w:t>Operate the Compressor Motor Facilities, including all appurtenant mechanical, electrical and other utility connections, in good operating condition in order to provide HP-Hours as required by, and meet any other obligation of Owner pursuant to, the Compression Services Agreement;</w:t>
      </w:r>
    </w:p>
    <w:p>
      <w:pPr>
        <w:pStyle w:val="Normal"/>
        <w:jc w:val="both"/>
        <w:rPr/>
      </w:pPr>
      <w:r>
        <w:rPr/>
      </w:r>
    </w:p>
    <w:p>
      <w:pPr>
        <w:pStyle w:val="Normal"/>
        <w:jc w:val="both"/>
        <w:rPr/>
      </w:pPr>
      <w:r>
        <w:rPr/>
        <w:tab/>
        <w:t>(ii)</w:t>
        <w:tab/>
        <w:t>Repair and maintain the Compressor Motor Facilities (including any leased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Owner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to Owner,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Owner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Owner.</w:t>
      </w:r>
    </w:p>
    <w:p>
      <w:pPr>
        <w:pStyle w:val="Normal"/>
        <w:jc w:val="both"/>
        <w:rPr/>
      </w:pPr>
      <w:r>
        <w:rPr/>
      </w:r>
    </w:p>
    <w:p>
      <w:pPr>
        <w:pStyle w:val="Normal"/>
        <w:jc w:val="both"/>
        <w:rPr/>
      </w:pPr>
      <w:r>
        <w:rPr/>
        <w:t>(b)</w:t>
        <w:tab/>
      </w:r>
      <w:r>
        <w:rPr>
          <w:u w:val="single"/>
        </w:rPr>
        <w:t>Administrative Services</w:t>
      </w:r>
      <w:r>
        <w:rPr/>
        <w:t>.  Operator shall provide, or cause to be provided, administrative services pertaining to the operation and maintenance services provided for Owner, including, without limitation, the following:</w:t>
      </w:r>
    </w:p>
    <w:p>
      <w:pPr>
        <w:pStyle w:val="Normal"/>
        <w:jc w:val="both"/>
        <w:rPr>
          <w:u w:val="single"/>
        </w:rPr>
      </w:pPr>
      <w:r>
        <w:rPr>
          <w:u w:val="single"/>
        </w:rPr>
      </w:r>
    </w:p>
    <w:p>
      <w:pPr>
        <w:pStyle w:val="Normal"/>
        <w:jc w:val="both"/>
        <w:rPr/>
      </w:pPr>
      <w:r>
        <w:rPr/>
        <w:tab/>
        <w:t>(i)</w:t>
        <w:tab/>
        <w:t>As agreed between Owner and Operator, prepare and file, in the name of Owner and subject to Owner’s approval, all reports relative to the Compressor Motor Facilities, as required by governmental bodies or agencies with jurisdiction over the Compressor Motor Facilities and cooperate with Owner in obtaining and reviewing governmental permits, licenses and approvals;</w:t>
      </w:r>
    </w:p>
    <w:p>
      <w:pPr>
        <w:pStyle w:val="Normal"/>
        <w:jc w:val="both"/>
        <w:rPr/>
      </w:pPr>
      <w:r>
        <w:rPr/>
      </w:r>
    </w:p>
    <w:p>
      <w:pPr>
        <w:pStyle w:val="Normal"/>
        <w:jc w:val="both"/>
        <w:rPr/>
      </w:pPr>
      <w:r>
        <w:rPr/>
        <w:tab/>
        <w:t>(ii)</w:t>
        <w:tab/>
        <w:t>In accordance with Good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Owner or required by law;</w:t>
      </w:r>
    </w:p>
    <w:p>
      <w:pPr>
        <w:pStyle w:val="Normal"/>
        <w:jc w:val="both"/>
        <w:rPr/>
      </w:pPr>
      <w:r>
        <w:rPr/>
      </w:r>
    </w:p>
    <w:p>
      <w:pPr>
        <w:pStyle w:val="Normal"/>
        <w:jc w:val="both"/>
        <w:rPr/>
      </w:pPr>
      <w:r>
        <w:rPr/>
        <w:tab/>
        <w:t>(iii)</w:t>
        <w:tab/>
        <w:t>Not later than September 30 of each year, prepare and submit to Owner, an annual capital budget for the next year (the “Annual Capital Budget”), in a format reasonably requested by Owner, which will reflect the needs for additional facilities, modification of existing facilities, equipment, or other capital expenditure needs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Owner in format and at times reasonably requested by Owner;</w:t>
      </w:r>
    </w:p>
    <w:p>
      <w:pPr>
        <w:pStyle w:val="Normal"/>
        <w:jc w:val="both"/>
        <w:rPr/>
      </w:pPr>
      <w:r>
        <w:rPr/>
      </w:r>
    </w:p>
    <w:p>
      <w:pPr>
        <w:pStyle w:val="Normal"/>
        <w:jc w:val="both"/>
        <w:rPr/>
      </w:pPr>
      <w:r>
        <w:rPr/>
        <w:tab/>
        <w:t>(v)</w:t>
        <w:tab/>
        <w:t>Notify Owner immediately of any departures from the Annual Capital Budget or current estimate in excess of five percent (5%) of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Owner of all incidents relating to the Compressor Motor Facilities which are reportable under laws or regulations of the Federal Energy Regulatory Commission, New Mexico Public Utility Commission or other governmental agency with jurisdiction.</w:t>
      </w:r>
    </w:p>
    <w:p>
      <w:pPr>
        <w:pStyle w:val="Normal"/>
        <w:jc w:val="both"/>
        <w:rPr/>
      </w:pPr>
      <w:r>
        <w:rPr/>
      </w:r>
    </w:p>
    <w:p>
      <w:pPr>
        <w:pStyle w:val="Normal"/>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jc w:val="both"/>
        <w:rPr/>
      </w:pPr>
      <w:r>
        <w:rPr/>
        <w:tab/>
        <w:t>2.3</w:t>
        <w:tab/>
      </w:r>
      <w:r>
        <w:rPr>
          <w:u w:val="single"/>
        </w:rPr>
        <w:t>Prohibited Actions</w:t>
      </w:r>
      <w:r>
        <w:rPr/>
        <w:t>.  Operator shall not, without receiving prior written consent of Owner (which consent shall not be unreasonably withheld) and except as otherwise provided herein:</w:t>
      </w:r>
    </w:p>
    <w:p>
      <w:pPr>
        <w:pStyle w:val="Normal"/>
        <w:jc w:val="both"/>
        <w:rPr>
          <w:u w:val="single"/>
        </w:rPr>
      </w:pPr>
      <w:r>
        <w:rPr>
          <w:u w:val="single"/>
        </w:rPr>
      </w:r>
    </w:p>
    <w:p>
      <w:pPr>
        <w:pStyle w:val="Normal"/>
        <w:jc w:val="both"/>
        <w:rPr/>
      </w:pPr>
      <w:r>
        <w:rPr/>
        <w:tab/>
        <w:t>(a)</w:t>
        <w:tab/>
        <w:t>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Owner’s Rights</w:t>
      </w:r>
      <w:r>
        <w:rPr/>
        <w:t>.</w:t>
      </w:r>
    </w:p>
    <w:p>
      <w:pPr>
        <w:pStyle w:val="Normal"/>
        <w:jc w:val="both"/>
        <w:rPr/>
      </w:pPr>
      <w:r>
        <w:rPr/>
      </w:r>
    </w:p>
    <w:p>
      <w:pPr>
        <w:pStyle w:val="BodyText2"/>
        <w:jc w:val="both"/>
        <w:rPr/>
      </w:pPr>
      <w:r>
        <w:rPr/>
        <w:tab/>
        <w:t>(a)</w:t>
        <w:tab/>
        <w:t>Owner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Owner shall have the right to examine and make copies of the books of account and other records maintained by Operator relating to the operation and maintenance of the Compressor Motor Facilities.  Owner shall bear all expenses incurred in connection with any such inspection or examination.</w:t>
      </w:r>
    </w:p>
    <w:p>
      <w:pPr>
        <w:pStyle w:val="Normal"/>
        <w:ind w:firstLine="720" w:end="0"/>
        <w:jc w:val="both"/>
        <w:rPr/>
      </w:pPr>
      <w:r>
        <w:rPr/>
      </w:r>
    </w:p>
    <w:p>
      <w:pPr>
        <w:pStyle w:val="Normal"/>
        <w:numPr>
          <w:ilvl w:val="0"/>
          <w:numId w:val="3"/>
        </w:numPr>
        <w:tabs>
          <w:tab w:val="clear" w:pos="720"/>
          <w:tab w:val="left" w:pos="1080" w:leader="none"/>
        </w:tabs>
        <w:ind w:hanging="360" w:start="1080" w:end="0"/>
        <w:jc w:val="both"/>
        <w:rPr/>
      </w:pPr>
      <w:r>
        <w:rPr/>
        <w:t>Owner and Operator recognize that the Compressor Motor Facilities owner by</w:t>
      </w:r>
    </w:p>
    <w:p>
      <w:pPr>
        <w:pStyle w:val="Normal"/>
        <w:ind w:start="720" w:end="0"/>
        <w:jc w:val="both"/>
        <w:rPr/>
      </w:pPr>
      <w:r>
        <w:rPr/>
        <w:t>Owner will be located on property owned by Operator and that such arrangement is for the mutual benefit of Owner and Operator.  Operator hereby grants to Owner a license for as long as this Agreement is in effect, to build, situate, and maintain the Compressor Motor Facilities at the Compressor Station.</w:t>
      </w:r>
    </w:p>
    <w:p>
      <w:pPr>
        <w:pStyle w:val="Normal"/>
        <w:jc w:val="both"/>
        <w:rPr/>
      </w:pPr>
      <w:r>
        <w:rPr/>
      </w:r>
    </w:p>
    <w:p>
      <w:pPr>
        <w:pStyle w:val="Normal"/>
        <w:jc w:val="both"/>
        <w:rPr/>
      </w:pPr>
      <w:r>
        <w:rPr/>
      </w:r>
    </w:p>
    <w:p>
      <w:pPr>
        <w:pStyle w:val="Normal"/>
        <w:jc w:val="center"/>
        <w:rPr>
          <w:b/>
        </w:rPr>
      </w:pPr>
      <w:r>
        <w:rPr>
          <w:b/>
        </w:rPr>
        <w:t>ARTICLE 3.</w:t>
      </w:r>
    </w:p>
    <w:p>
      <w:pPr>
        <w:pStyle w:val="Heading1"/>
        <w:ind w:hanging="0" w:start="0"/>
        <w:rPr/>
      </w:pPr>
      <w:r>
        <w:rPr/>
        <w:t>ANNUAL OPERATING AND MAINTENACE FEE</w:t>
      </w:r>
    </w:p>
    <w:p>
      <w:pPr>
        <w:pStyle w:val="Normal"/>
        <w:rPr/>
      </w:pPr>
      <w:r>
        <w:rPr/>
      </w:r>
    </w:p>
    <w:p>
      <w:pPr>
        <w:pStyle w:val="BodyText2"/>
        <w:ind w:firstLine="720" w:start="0" w:end="0"/>
        <w:jc w:val="both"/>
        <w:rPr/>
      </w:pPr>
      <w:r>
        <w:rPr/>
        <w:t>3.1</w:t>
        <w:tab/>
      </w:r>
      <w:r>
        <w:rPr>
          <w:u w:val="single"/>
        </w:rPr>
        <w:t>Annual Operating and Maintenance Fee.</w:t>
      </w:r>
      <w:r>
        <w:rPr/>
        <w:t xml:space="preserve">  Owner shall pay Operator an Annual Operating and Maintenance Fee to operate and maintain the Compressor Motor Facilities (including the provision of administrative services) during each Contract Year.  The Annual Operating and Maintenance Fees are set forth on Exhibit “B” which is attached hereto, made a part hereof and incorporated herein for all purposes.  The Annual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The Annual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The Annual Operating and Maintenance Fee shall be paid by Owner to Operator in twelve (12) monthly installments, each equal to 1/12</w:t>
      </w:r>
      <w:r>
        <w:rPr>
          <w:vertAlign w:val="superscript"/>
        </w:rPr>
        <w:t>th</w:t>
      </w:r>
      <w:r>
        <w:rPr/>
        <w:t xml:space="preserve"> of the Annual Operating and Maintenance Fee as set forth in Exhibit “B” hereto.  Such monthly payments shall be made on the first business day of each month by wire transfer to an account to be designated by Operator.  Should this Agreement terminate prior to the end of any Contract Year the Annual Operating and Maintenance fee shall be prorated based upon the portion of the year in which the Agreement was in effect.</w:t>
      </w:r>
    </w:p>
    <w:p>
      <w:pPr>
        <w:pStyle w:val="Normal"/>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 xml:space="preserve">Owner shall have the right to observe and consult with Operator in connection with Operator’s performance of its obligations under this Agreement to assure Operator’s compliance with the terms of this Agreement.  Operator shall comply with all of the applicable laws, rules, orders, and regulations of governmental authorities having jurisdiction.  In fulfilling its duties hereunder, Operator </w:t>
      </w:r>
    </w:p>
    <w:p>
      <w:pPr>
        <w:pStyle w:val="BodyTextIndent2"/>
        <w:ind w:hanging="0" w:end="0"/>
        <w:jc w:val="both"/>
        <w:rPr/>
      </w:pPr>
      <w:r>
        <w:rPr/>
        <w:t>may, but shall not be obligated to, use the services of any Operator’s, Owner’s and their affiliates’ legal, accounting, engineering, planning, budgeting, operating, rates and economics, land, purchasing and other departments.</w:t>
      </w:r>
    </w:p>
    <w:p>
      <w:pPr>
        <w:pStyle w:val="BodyTextIndent2"/>
        <w:jc w:val="both"/>
        <w:rPr/>
      </w:pPr>
      <w:r>
        <w:rPr/>
      </w:r>
    </w:p>
    <w:p>
      <w:pPr>
        <w:pStyle w:val="BodyTextIndent2"/>
        <w:ind w:hanging="0" w:end="0"/>
        <w:jc w:val="center"/>
        <w:rPr>
          <w:b/>
        </w:rPr>
      </w:pPr>
      <w:r>
        <w:rPr>
          <w:b/>
        </w:rPr>
        <w:t>ARTICLE 5.</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1440" w:leader="none"/>
        </w:tabs>
        <w:ind w:hanging="720" w:start="1440" w:end="0"/>
        <w:rPr/>
      </w:pPr>
      <w:r>
        <w:rPr>
          <w:u w:val="single"/>
        </w:rPr>
        <w:t>5.1</w:t>
        <w:tab/>
        <w:t>Term.</w:t>
      </w:r>
      <w:r>
        <w:rPr/>
        <w:t xml:space="preserve">  Except as otherwise provided herein, this Agreement shall become</w:t>
      </w:r>
    </w:p>
    <w:p>
      <w:pPr>
        <w:pStyle w:val="BodyText2"/>
        <w:ind w:start="0" w:end="0"/>
        <w:rPr/>
      </w:pPr>
      <w:r>
        <w:rPr/>
        <w:t>effective upon execution and shall continue in full force and effect for an initial term of ten (10) years following the Start Date.</w:t>
      </w:r>
    </w:p>
    <w:p>
      <w:pPr>
        <w:pStyle w:val="BodyText2"/>
        <w:rPr/>
      </w:pPr>
      <w:r>
        <w:rPr/>
      </w:r>
    </w:p>
    <w:p>
      <w:pPr>
        <w:pStyle w:val="BodyTextIndent2"/>
        <w:tabs>
          <w:tab w:val="clear" w:pos="720"/>
          <w:tab w:val="left" w:pos="1440" w:leader="none"/>
        </w:tabs>
        <w:ind w:hanging="720" w:start="1440" w:end="0"/>
        <w:jc w:val="both"/>
        <w:rPr/>
      </w:pPr>
      <w:r>
        <w:rPr>
          <w:u w:val="single"/>
        </w:rPr>
        <w:t>5.2</w:t>
        <w:tab/>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Agreement at any time by</w:t>
      </w:r>
    </w:p>
    <w:p>
      <w:pPr>
        <w:pStyle w:val="BodyTextIndent2"/>
        <w:jc w:val="both"/>
        <w:rPr/>
      </w:pPr>
      <w:r>
        <w:rPr/>
        <w:t>mutual agreement in writing executed by both Parties; or</w:t>
      </w:r>
    </w:p>
    <w:p>
      <w:pPr>
        <w:pStyle w:val="BodyTextIndent2"/>
        <w:ind w:hanging="0" w:start="1440" w:end="0"/>
        <w:jc w:val="both"/>
        <w:rPr/>
      </w:pPr>
      <w:r>
        <w:rPr/>
      </w:r>
    </w:p>
    <w:p>
      <w:pPr>
        <w:pStyle w:val="BodyTextIndent2"/>
        <w:numPr>
          <w:ilvl w:val="0"/>
          <w:numId w:val="4"/>
        </w:numPr>
        <w:tabs>
          <w:tab w:val="clear" w:pos="720"/>
        </w:tabs>
        <w:ind w:hanging="0" w:start="1440" w:end="0"/>
        <w:jc w:val="both"/>
        <w:rPr/>
      </w:pPr>
      <w:r>
        <w:rPr/>
        <w:t xml:space="preserve">Upon the occurrence of any default by Owner in the payment of the Annual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Indent2"/>
        <w:ind w:hanging="0" w:start="1440" w:end="0"/>
        <w:jc w:val="both"/>
        <w:rPr/>
      </w:pPr>
      <w:r>
        <w:rPr/>
      </w:r>
    </w:p>
    <w:p>
      <w:pPr>
        <w:pStyle w:val="BodyTextIndent2"/>
        <w:numPr>
          <w:ilvl w:val="0"/>
          <w:numId w:val="4"/>
        </w:numPr>
        <w:tabs>
          <w:tab w:val="clear" w:pos="720"/>
          <w:tab w:val="left" w:pos="1440" w:leader="none"/>
        </w:tabs>
        <w:ind w:hanging="0" w:start="1440" w:end="0"/>
        <w:jc w:val="both"/>
        <w:rPr/>
      </w:pPr>
      <w:r>
        <w:rPr/>
        <w:t>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effecting such non-defaulting Party’s rights under this Agreement; or</w:t>
      </w:r>
    </w:p>
    <w:p>
      <w:pPr>
        <w:pStyle w:val="BodyTextIndent2"/>
        <w:numPr>
          <w:ilvl w:val="0"/>
          <w:numId w:val="0"/>
        </w:numPr>
        <w:ind w:hanging="0" w:start="1440" w:end="0"/>
        <w:jc w:val="both"/>
        <w:rPr/>
      </w:pPr>
      <w:r>
        <w:rPr/>
      </w:r>
    </w:p>
    <w:p>
      <w:pPr>
        <w:pStyle w:val="BodyTextIndent2"/>
        <w:numPr>
          <w:ilvl w:val="0"/>
          <w:numId w:val="4"/>
        </w:numPr>
        <w:jc w:val="both"/>
        <w:rPr/>
      </w:pPr>
      <w:r>
        <w:rPr/>
        <w:t>By either Party upon the termination of the Compression Services</w:t>
      </w:r>
    </w:p>
    <w:p>
      <w:pPr>
        <w:pStyle w:val="BodyTextIndent2"/>
        <w:ind w:hanging="0" w:start="1440" w:end="0"/>
        <w:jc w:val="both"/>
        <w:rPr/>
      </w:pPr>
      <w:r>
        <w:rPr/>
        <w:t>Agreement.</w:t>
      </w:r>
    </w:p>
    <w:p>
      <w:pPr>
        <w:pStyle w:val="BodyTextIndent2"/>
        <w:jc w:val="both"/>
        <w:rPr/>
      </w:pPr>
      <w:r>
        <w:rPr/>
      </w:r>
    </w:p>
    <w:p>
      <w:pPr>
        <w:pStyle w:val="BodyTextIndent2"/>
        <w:jc w:val="center"/>
        <w:rPr>
          <w:b/>
        </w:rPr>
      </w:pPr>
      <w:r>
        <w:rPr>
          <w:b/>
        </w:rPr>
        <w:t>ARTICLE 6.</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6.1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6"/>
        </w:numPr>
        <w:jc w:val="both"/>
        <w:rPr/>
      </w:pPr>
      <w:r>
        <w:rPr/>
        <w:t>was known by the recipient prior to the disclosure thereof by the</w:t>
      </w:r>
    </w:p>
    <w:p>
      <w:pPr>
        <w:pStyle w:val="BodyTextIndent2"/>
        <w:numPr>
          <w:ilvl w:val="0"/>
          <w:numId w:val="0"/>
        </w:numPr>
        <w:ind w:firstLine="720" w:start="720" w:end="0"/>
        <w:jc w:val="both"/>
        <w:rPr/>
      </w:pPr>
      <w:r>
        <w:rPr/>
        <w:t>disclosing Party:</w:t>
      </w:r>
    </w:p>
    <w:p>
      <w:pPr>
        <w:pStyle w:val="BodyTextIndent2"/>
        <w:numPr>
          <w:ilvl w:val="0"/>
          <w:numId w:val="0"/>
        </w:numPr>
        <w:ind w:hanging="0" w:start="1440" w:end="0"/>
        <w:jc w:val="both"/>
        <w:rPr/>
      </w:pPr>
      <w:r>
        <w:rPr/>
      </w:r>
    </w:p>
    <w:p>
      <w:pPr>
        <w:pStyle w:val="BodyTextIndent2"/>
        <w:numPr>
          <w:ilvl w:val="0"/>
          <w:numId w:val="6"/>
        </w:numPr>
        <w:jc w:val="both"/>
        <w:rPr/>
      </w:pPr>
      <w:r>
        <w:rPr/>
        <w:t>is, or shall become, other than by an act of the recipient, generally</w:t>
      </w:r>
    </w:p>
    <w:p>
      <w:pPr>
        <w:pStyle w:val="BodyTextIndent2"/>
        <w:numPr>
          <w:ilvl w:val="0"/>
          <w:numId w:val="0"/>
        </w:numPr>
        <w:ind w:firstLine="720" w:start="720" w:end="0"/>
        <w:jc w:val="both"/>
        <w:rPr/>
      </w:pPr>
      <w:r>
        <w:rPr/>
        <w:t>available to the public;</w:t>
      </w:r>
    </w:p>
    <w:p>
      <w:pPr>
        <w:pStyle w:val="BodyTextIndent2"/>
        <w:numPr>
          <w:ilvl w:val="0"/>
          <w:numId w:val="0"/>
        </w:numPr>
        <w:ind w:hanging="0" w:start="1440" w:end="0"/>
        <w:jc w:val="both"/>
        <w:rPr/>
      </w:pPr>
      <w:r>
        <w:rPr/>
      </w:r>
    </w:p>
    <w:p>
      <w:pPr>
        <w:pStyle w:val="BodyTextIndent2"/>
        <w:numPr>
          <w:ilvl w:val="0"/>
          <w:numId w:val="6"/>
        </w:numPr>
        <w:jc w:val="both"/>
        <w:rPr/>
      </w:pPr>
      <w:r>
        <w:rPr/>
        <w:t>is lawfully made available to the recipient by a third party in good</w:t>
      </w:r>
    </w:p>
    <w:p>
      <w:pPr>
        <w:pStyle w:val="BodyTextIndent2"/>
        <w:numPr>
          <w:ilvl w:val="0"/>
          <w:numId w:val="0"/>
        </w:numPr>
        <w:ind w:firstLine="720" w:start="720" w:end="0"/>
        <w:jc w:val="both"/>
        <w:rPr/>
      </w:pPr>
      <w:r>
        <w:rPr/>
        <w:t>faith;</w:t>
      </w:r>
    </w:p>
    <w:p>
      <w:pPr>
        <w:pStyle w:val="BodyTextIndent2"/>
        <w:numPr>
          <w:ilvl w:val="0"/>
          <w:numId w:val="0"/>
        </w:numPr>
        <w:ind w:hanging="0" w:start="0"/>
        <w:jc w:val="both"/>
        <w:rPr/>
      </w:pPr>
      <w:r>
        <w:rPr/>
      </w:r>
    </w:p>
    <w:p>
      <w:pPr>
        <w:pStyle w:val="BodyTextIndent2"/>
        <w:numPr>
          <w:ilvl w:val="0"/>
          <w:numId w:val="6"/>
        </w:numPr>
        <w:jc w:val="both"/>
        <w:rPr/>
      </w:pPr>
      <w:r>
        <w:rPr/>
        <w:t>was developed by the recipient without reference to or reliance</w:t>
      </w:r>
    </w:p>
    <w:p>
      <w:pPr>
        <w:pStyle w:val="BodyTextIndent2"/>
        <w:numPr>
          <w:ilvl w:val="0"/>
          <w:numId w:val="0"/>
        </w:numPr>
        <w:ind w:firstLine="720" w:start="720" w:end="0"/>
        <w:jc w:val="both"/>
        <w:rPr/>
      </w:pPr>
      <w:r>
        <w:rPr/>
        <w:t>upon Confidential Information received from the disclosing Party; or</w:t>
      </w:r>
    </w:p>
    <w:p>
      <w:pPr>
        <w:pStyle w:val="BodyTextIndent2"/>
        <w:numPr>
          <w:ilvl w:val="0"/>
          <w:numId w:val="0"/>
        </w:numPr>
        <w:ind w:hanging="0" w:start="0"/>
        <w:jc w:val="both"/>
        <w:rPr/>
      </w:pPr>
      <w:r>
        <w:rPr/>
      </w:r>
    </w:p>
    <w:p>
      <w:pPr>
        <w:pStyle w:val="BodyTextIndent2"/>
        <w:numPr>
          <w:ilvl w:val="0"/>
          <w:numId w:val="0"/>
        </w:numPr>
        <w:ind w:hanging="0" w:start="1440" w:end="0"/>
        <w:jc w:val="both"/>
        <w:rPr/>
      </w:pPr>
      <w:r>
        <w:rPr/>
      </w:r>
    </w:p>
    <w:p>
      <w:pPr>
        <w:pStyle w:val="BodyTextIndent2"/>
        <w:numPr>
          <w:ilvl w:val="0"/>
          <w:numId w:val="6"/>
        </w:numPr>
        <w:jc w:val="both"/>
        <w:rPr/>
      </w:pPr>
      <w:r>
        <w:rPr/>
        <w:t>is required to be disclosed to comply with any applicable law,</w:t>
      </w:r>
    </w:p>
    <w:p>
      <w:pPr>
        <w:pStyle w:val="BodyTextIndent2"/>
        <w:ind w:start="720" w:end="0"/>
        <w:jc w:val="both"/>
        <w:rPr/>
      </w:pPr>
      <w:r>
        <w:rPr/>
        <w:t>order, regulation or ruling.</w:t>
      </w:r>
    </w:p>
    <w:p>
      <w:pPr>
        <w:pStyle w:val="BodyTextIndent2"/>
        <w:jc w:val="both"/>
        <w:rPr/>
      </w:pPr>
      <w:r>
        <w:rPr/>
      </w:r>
    </w:p>
    <w:p>
      <w:pPr>
        <w:pStyle w:val="BodyTextIndent2"/>
        <w:tabs>
          <w:tab w:val="clear" w:pos="720"/>
          <w:tab w:val="left" w:pos="1440" w:leader="none"/>
        </w:tabs>
        <w:ind w:hanging="720" w:start="1440" w:end="0"/>
        <w:jc w:val="both"/>
        <w:rPr/>
      </w:pPr>
      <w:r>
        <w:rPr>
          <w:u w:val="single"/>
        </w:rPr>
        <w:t>6.2</w:t>
        <w:tab/>
        <w:t>Survival.</w:t>
      </w:r>
      <w:r>
        <w:rPr/>
        <w:t xml:space="preserve">  Notwithstanding any other section of this Agreement to the</w:t>
      </w:r>
    </w:p>
    <w:p>
      <w:pPr>
        <w:pStyle w:val="BodyTextIndent2"/>
        <w:ind w:hanging="0" w:end="0"/>
        <w:jc w:val="both"/>
        <w:rPr/>
      </w:pPr>
      <w:r>
        <w:rPr/>
        <w:t>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1440" w:leader="none"/>
        </w:tabs>
        <w:ind w:hanging="720" w:start="1440" w:end="0"/>
        <w:jc w:val="both"/>
        <w:rPr/>
      </w:pPr>
      <w:r>
        <w:rPr>
          <w:b/>
          <w:u w:val="single"/>
        </w:rPr>
        <w:t>7.1</w:t>
        <w:tab/>
        <w:t>General Indemnity</w:t>
      </w:r>
      <w:r>
        <w:rPr>
          <w:b/>
        </w:rPr>
        <w:t>.</w:t>
      </w:r>
    </w:p>
    <w:p>
      <w:pPr>
        <w:pStyle w:val="BodyTextIndent2"/>
        <w:ind w:hanging="0" w:start="720" w:end="0"/>
        <w:jc w:val="both"/>
        <w:rPr>
          <w:b/>
        </w:rPr>
      </w:pPr>
      <w:r>
        <w:rPr>
          <w:b/>
        </w:rPr>
      </w:r>
    </w:p>
    <w:p>
      <w:pPr>
        <w:pStyle w:val="BodyTextIndent2"/>
        <w:ind w:start="720" w:end="0"/>
        <w:jc w:val="both"/>
        <w:rPr>
          <w:b/>
        </w:rPr>
      </w:pPr>
      <w:r>
        <w:rPr>
          <w:b/>
        </w:rPr>
        <w:t>ONE PERCENT (1%) OF THE AMOUNT TO BE PAID UNDER</w:t>
      </w:r>
    </w:p>
    <w:p>
      <w:pPr>
        <w:pStyle w:val="BodyTextIndent2"/>
        <w:ind w:hanging="0" w:end="0"/>
        <w:jc w:val="both"/>
        <w:rPr>
          <w:b/>
        </w:rPr>
      </w:pPr>
      <w:r>
        <w:rPr>
          <w:b/>
        </w:rPr>
        <w:t>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OWNER,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 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APPLY,WITHOUT LIMITATION TO ANY “LIABILITIES” IMPOSED ON ANY PARTY INDEMNIFIED HEREUNDER AS A RESULT OF ANY STATUTE, RULE, REGULATION OR THEORY OF STRICT LIABILITY. OPERATOR EXPRESSLY ASSUMES THE ENTIRE LIABILITY PURSUANT TO THIS INDEMNIFICATION PARAGRAHP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THE OWNER,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OPERATORS SHALL WAIVE AND RELEASE, AND DOES HEREBY WAIVE AND RELEASE, ANY AND EVERY MACHANIC’S LIEN OR RIGHT OF LIEN WHICH ACCRUES TO IT AT ANY TIME UPON ANY REAL ESTATE, BUILDING OR STRUCTURE OF THE OWNER, ITS PARENT OR AFFILITATED COMPANIES (EXCEPT ANY LIEN IN FAVOR OF OPERATOR ARISING AS A RESULT OF THE FAILURE OF</w:t>
      </w:r>
    </w:p>
    <w:p>
      <w:pPr>
        <w:pStyle w:val="BodyTextIndent2"/>
        <w:jc w:val="both"/>
        <w:rPr>
          <w:b/>
        </w:rPr>
      </w:pPr>
      <w:r>
        <w:rPr>
          <w:b/>
        </w:rPr>
        <w:t>OWNER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OWNER, AFTER HAVING BEEN NOTIFIED BY OWNER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FURTHER, AND IN ADDITION TO THE INDEMNIFICATION PROVIDED ABOVE, IN NO EVENT SHALL EITHER PARTY BE LIABLE TO THE OTHER PARTY FOR ANY CONSEQUENTIAL, INCIDENTIAL, INDIRECT, SPECIAL OR PUNITIVE DAMAGES ARISING OUT OF THIS AGREE OR ANY BREACH THEREOF, WHETHER OR NOT BASED ON CONTRACT, WARRANTY, NEGLIGENCE, INDEMNITY, STRICT LIABILITY OR OTHERWISE.</w:t>
      </w:r>
    </w:p>
    <w:p>
      <w:pPr>
        <w:pStyle w:val="BodyTextIndent2"/>
        <w:ind w:hanging="0" w:start="1440" w:end="0"/>
        <w:jc w:val="both"/>
        <w:rPr>
          <w:b/>
        </w:rPr>
      </w:pPr>
      <w:r>
        <w:rPr>
          <w:b/>
        </w:rPr>
      </w:r>
    </w:p>
    <w:p>
      <w:pPr>
        <w:pStyle w:val="BodyTextIndent2"/>
        <w:ind w:hanging="0" w:start="1440" w:end="0"/>
        <w:jc w:val="center"/>
        <w:rPr>
          <w:b/>
        </w:rPr>
      </w:pPr>
      <w:r>
        <w:rPr>
          <w:b/>
        </w:rPr>
        <w:t>ARTICLE 8.</w:t>
      </w:r>
    </w:p>
    <w:p>
      <w:pPr>
        <w:pStyle w:val="BodyTextIndent2"/>
        <w:ind w:hanging="0" w:start="1440" w:end="0"/>
        <w:jc w:val="center"/>
        <w:rPr>
          <w:u w:val="single"/>
        </w:rPr>
      </w:pPr>
      <w:r>
        <w:rPr>
          <w:b/>
          <w:u w:val="single"/>
        </w:rPr>
        <w:t>GENERAL</w:t>
      </w:r>
    </w:p>
    <w:p>
      <w:pPr>
        <w:pStyle w:val="BodyTextIndent2"/>
        <w:jc w:val="both"/>
        <w:rPr>
          <w:u w:val="single"/>
        </w:rPr>
      </w:pPr>
      <w:r>
        <w:rPr>
          <w:u w:val="single"/>
        </w:rPr>
      </w:r>
    </w:p>
    <w:p>
      <w:pPr>
        <w:pStyle w:val="BodyText"/>
        <w:rPr/>
      </w:pPr>
      <w:r>
        <w:rPr/>
        <w:t>8.1</w:t>
        <w:tab/>
      </w:r>
      <w:r>
        <w:rPr>
          <w:u w:val="single"/>
        </w:rPr>
        <w:t>Insurance</w:t>
      </w:r>
      <w:r>
        <w:rPr/>
        <w:t>.  Owner shall be responsible for maintaining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agreed to by Owner and Operator.  The costs for additional insurance coverage, if any, in force under the Enron Corp. insurance plan and applicable to the Compressor Motor Facilities and services provided hereunder shall be allocated to Owner.  All insurance policies covering the Compressor Motor Facilities and/or the services provided hereunder and the Compressor Stations shall name both Parties hereto as insureds with waivers of subrogation.  To further protect Owner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Normal"/>
        <w:jc w:val="both"/>
        <w:rPr/>
      </w:pPr>
      <w:r>
        <w:rPr/>
      </w:r>
    </w:p>
    <w:p>
      <w:pPr>
        <w:pStyle w:val="Normal"/>
        <w:tabs>
          <w:tab w:val="clear" w:pos="720"/>
          <w:tab w:val="left" w:pos="1440" w:leader="none"/>
        </w:tabs>
        <w:ind w:firstLine="630" w:start="90" w:end="0"/>
        <w:jc w:val="both"/>
        <w:rPr/>
      </w:pPr>
      <w:r>
        <w:rPr>
          <w:u w:val="single"/>
        </w:rPr>
        <w:t>8.2</w:t>
        <w:tab/>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Owner:</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Capital &amp; Trade Resources Corp.</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hanging="0" w:start="0"/>
        <w:rPr/>
      </w:pPr>
      <w:r>
        <w:rPr/>
        <w:t>Attention:  Vice President</w:t>
      </w:r>
    </w:p>
    <w:p>
      <w:pPr>
        <w:pStyle w:val="Normal"/>
        <w:keepNext w:val="true"/>
        <w:keepLines/>
        <w:ind w:start="1980" w:end="0"/>
        <w:jc w:val="both"/>
        <w:rPr/>
      </w:pPr>
      <w:r>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Transwestern Pipeline Company</w:t>
      </w:r>
    </w:p>
    <w:p>
      <w:pPr>
        <w:pStyle w:val="Normal"/>
        <w:keepNext w:val="true"/>
        <w:keepLines/>
        <w:ind w:start="1980" w:end="0"/>
        <w:jc w:val="both"/>
        <w:rPr/>
      </w:pPr>
      <w:r>
        <w:rPr/>
        <w:t>P.O. Box 1188</w:t>
      </w:r>
    </w:p>
    <w:p>
      <w:pPr>
        <w:pStyle w:val="Normal"/>
        <w:keepNext w:val="true"/>
        <w:keepLines/>
        <w:ind w:start="1980" w:end="0"/>
        <w:jc w:val="both"/>
        <w:rPr/>
      </w:pPr>
      <w:r>
        <w:rPr/>
        <w:t>Houston, Texas  77251-1188</w:t>
      </w:r>
    </w:p>
    <w:p>
      <w:pPr>
        <w:pStyle w:val="Heading1"/>
        <w:keepLines/>
        <w:ind w:hanging="0" w:start="0"/>
        <w:rPr/>
      </w:pPr>
      <w:r>
        <w:rPr/>
        <w:t>Attention:  Vice President Marketing</w:t>
      </w:r>
    </w:p>
    <w:p>
      <w:pPr>
        <w:pStyle w:val="Normal"/>
        <w:keepNext w:val="true"/>
        <w:keepLines/>
        <w:jc w:val="both"/>
        <w:rPr/>
      </w:pPr>
      <w:r>
        <w:rPr/>
      </w:r>
    </w:p>
    <w:p>
      <w:pPr>
        <w:pStyle w:val="Normal"/>
        <w:tabs>
          <w:tab w:val="clear" w:pos="720"/>
          <w:tab w:val="left" w:pos="1440" w:leader="none"/>
        </w:tabs>
        <w:ind w:firstLine="630" w:start="90" w:end="0"/>
        <w:jc w:val="both"/>
        <w:rPr/>
      </w:pPr>
      <w:r>
        <w:rPr>
          <w:u w:val="single"/>
        </w:rPr>
        <w:t>8.3</w:t>
        <w:tab/>
        <w:t>Force Majeure</w:t>
      </w:r>
      <w:r>
        <w:rPr/>
        <w:t>.</w:t>
      </w:r>
    </w:p>
    <w:p>
      <w:pPr>
        <w:pStyle w:val="Normal"/>
        <w:jc w:val="both"/>
        <w:rPr/>
      </w:pPr>
      <w:r>
        <w:rPr/>
      </w:r>
    </w:p>
    <w:p>
      <w:pPr>
        <w:pStyle w:val="Normal"/>
        <w:numPr>
          <w:ilvl w:val="0"/>
          <w:numId w:val="5"/>
        </w:numPr>
        <w:tabs>
          <w:tab w:val="left" w:pos="720" w:leader="none"/>
        </w:tabs>
        <w:ind w:hanging="0" w:start="720" w:end="0"/>
        <w:jc w:val="both"/>
        <w:rPr/>
      </w:pPr>
      <w:r>
        <w:rPr/>
        <w:t>In the event of either Operator or Owner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numPr>
          <w:ilvl w:val="0"/>
          <w:numId w:val="5"/>
        </w:numPr>
        <w:tabs>
          <w:tab w:val="left" w:pos="720" w:leader="none"/>
        </w:tabs>
        <w:ind w:hanging="0" w:start="720" w:end="0"/>
        <w:jc w:val="both"/>
        <w:rPr/>
      </w:pPr>
      <w:r>
        <w:rPr/>
        <w:t>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Owner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Good Industry Practice in accordance with this Agreement shall be deemed to be Force Majeure.</w:t>
      </w:r>
    </w:p>
    <w:p>
      <w:pPr>
        <w:pStyle w:val="Normal"/>
        <w:numPr>
          <w:ilvl w:val="0"/>
          <w:numId w:val="0"/>
        </w:numPr>
        <w:ind w:hanging="0" w:start="0"/>
        <w:jc w:val="both"/>
        <w:rPr/>
      </w:pPr>
      <w:r>
        <w:rPr/>
      </w:r>
    </w:p>
    <w:p>
      <w:pPr>
        <w:pStyle w:val="Normal"/>
        <w:numPr>
          <w:ilvl w:val="0"/>
          <w:numId w:val="5"/>
        </w:numPr>
        <w:tabs>
          <w:tab w:val="left" w:pos="720" w:leader="none"/>
        </w:tabs>
        <w:ind w:hanging="0" w:start="720" w:end="0"/>
        <w:jc w:val="both"/>
        <w:rPr/>
      </w:pPr>
      <w:r>
        <w:rPr/>
        <w:t>If either Party shall rely upon Force Majeure as a basis for being excused from performance of its obligations under this Agreement, then such Party shall:</w:t>
      </w:r>
    </w:p>
    <w:p>
      <w:pPr>
        <w:pStyle w:val="Normal"/>
        <w:jc w:val="both"/>
        <w:rPr/>
      </w:pPr>
      <w:r>
        <w:rPr/>
      </w:r>
    </w:p>
    <w:p>
      <w:pPr>
        <w:pStyle w:val="BodyText2"/>
        <w:ind w:start="144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start="1440" w:end="0"/>
        <w:jc w:val="both"/>
        <w:rPr/>
      </w:pPr>
      <w:r>
        <w:rPr/>
        <w:t>(ii)</w:t>
        <w:tab/>
        <w:t>exercise all reasonable efforts to continue to perform its obligations hereunder;</w:t>
      </w:r>
    </w:p>
    <w:p>
      <w:pPr>
        <w:pStyle w:val="BodyText2"/>
        <w:jc w:val="both"/>
        <w:rPr/>
      </w:pPr>
      <w:r>
        <w:rPr/>
      </w:r>
    </w:p>
    <w:p>
      <w:pPr>
        <w:pStyle w:val="BodyText2"/>
        <w:ind w:start="1440" w:end="0"/>
        <w:jc w:val="both"/>
        <w:rPr/>
      </w:pPr>
      <w:r>
        <w:rPr/>
        <w:t>(iii)</w:t>
        <w:tab/>
        <w:t>expeditiously take action to correct or cure the event or condition excusing performance;</w:t>
      </w:r>
    </w:p>
    <w:p>
      <w:pPr>
        <w:pStyle w:val="BodyText2"/>
        <w:jc w:val="both"/>
        <w:rPr/>
      </w:pPr>
      <w:r>
        <w:rPr/>
      </w:r>
    </w:p>
    <w:p>
      <w:pPr>
        <w:pStyle w:val="BodyText2"/>
        <w:ind w:start="1440" w:end="0"/>
        <w:jc w:val="both"/>
        <w:rPr/>
      </w:pPr>
      <w:r>
        <w:rPr/>
        <w:t>(iv)</w:t>
        <w:tab/>
        <w:t>exercise all reasonable efforts to mitigate or limit damages to the other Party to the extent such action shall not adversely affects its own interest; and</w:t>
      </w:r>
    </w:p>
    <w:p>
      <w:pPr>
        <w:pStyle w:val="BodyText2"/>
        <w:jc w:val="both"/>
        <w:rPr/>
      </w:pPr>
      <w:r>
        <w:rPr/>
      </w:r>
    </w:p>
    <w:p>
      <w:pPr>
        <w:pStyle w:val="BodyText2"/>
        <w:ind w:start="1440" w:end="0"/>
        <w:jc w:val="both"/>
        <w:rPr/>
      </w:pPr>
      <w:r>
        <w:rPr/>
        <w:t>(v)</w:t>
        <w:tab/>
        <w:t>provide prompt notice to the other Party of the cessation of the event or condition giving rise to its excuse from performance.</w:t>
      </w:r>
    </w:p>
    <w:p>
      <w:pPr>
        <w:pStyle w:val="Normal"/>
        <w:jc w:val="both"/>
        <w:rPr/>
      </w:pPr>
      <w:r>
        <w:rPr/>
      </w:r>
    </w:p>
    <w:p>
      <w:pPr>
        <w:pStyle w:val="Normal"/>
        <w:tabs>
          <w:tab w:val="clear" w:pos="720"/>
          <w:tab w:val="left" w:pos="1440" w:leader="none"/>
        </w:tabs>
        <w:ind w:firstLine="630" w:start="90" w:end="0"/>
        <w:jc w:val="both"/>
        <w:rPr/>
      </w:pPr>
      <w:r>
        <w:rPr>
          <w:u w:val="single"/>
        </w:rPr>
        <w:t>8.4</w:t>
        <w:tab/>
        <w:t>Successors and Assigns</w:t>
      </w:r>
      <w:r>
        <w:rPr/>
        <w:t xml:space="preserve">.  This Agreement shall be binding upon and inure to the benefits of the Parties hereto and their respective successors and assigns.  Neither Party shall assign this Agreement or any of its rights or obligations hereunder, no shall Owner sell, transfer, assign, or otherwise convey the Compressor Motor Facilities (or any part thereof) to any third party,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u w:val="single"/>
        </w:rPr>
        <w:t>8.5</w:t>
        <w:tab/>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u w:val="single"/>
        </w:rPr>
        <w:t>8.6</w:t>
        <w:tab/>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u w:val="single"/>
        </w:rPr>
        <w:t>8.7</w:t>
        <w:tab/>
        <w:t>Ownership of Records and Materials</w:t>
      </w:r>
      <w:r>
        <w:rPr/>
        <w:t>.</w:t>
      </w:r>
    </w:p>
    <w:p>
      <w:pPr>
        <w:pStyle w:val="Normal"/>
        <w:jc w:val="both"/>
        <w:rPr/>
      </w:pPr>
      <w:r>
        <w:rPr/>
      </w:r>
    </w:p>
    <w:p>
      <w:pPr>
        <w:pStyle w:val="Normal"/>
        <w:numPr>
          <w:ilvl w:val="0"/>
          <w:numId w:val="2"/>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Owner has directly or indirectly reimbursed Operator, shall be the property of Owner and shall be held in temporary custody by Operator.  Upon the request of Owner, all or any portion of the aforesaid records, materials, and documents shall be delivered to Owner in a manner reasonably requested by Owner; provided, however, that Owner shall provide any and all such records and material to Operator in the event and to the extent Operator requires such records and materials for compliance with regulations, rules, laws, administrative orders.</w:t>
      </w:r>
    </w:p>
    <w:p>
      <w:pPr>
        <w:pStyle w:val="Normal"/>
        <w:numPr>
          <w:ilvl w:val="0"/>
          <w:numId w:val="0"/>
        </w:numPr>
        <w:ind w:hanging="0" w:start="0"/>
        <w:jc w:val="both"/>
        <w:rPr/>
      </w:pPr>
      <w:r>
        <w:rPr/>
      </w:r>
    </w:p>
    <w:p>
      <w:pPr>
        <w:pStyle w:val="Normal"/>
        <w:numPr>
          <w:ilvl w:val="0"/>
          <w:numId w:val="2"/>
        </w:numPr>
        <w:tabs>
          <w:tab w:val="left" w:pos="720" w:leader="none"/>
        </w:tabs>
        <w:ind w:firstLine="720" w:start="720" w:end="0"/>
        <w:jc w:val="both"/>
        <w:rPr/>
      </w:pPr>
      <w:r>
        <w:rPr/>
        <w:t>Title to all property, facilities, easements, leases, permits, and licenses acquired by Operator for Owner shall be taken, unless otherwise directed by Owner, in the name of Owner but shall be assignable to Operator at Operator's request.</w:t>
      </w:r>
    </w:p>
    <w:p>
      <w:pPr>
        <w:pStyle w:val="Normal"/>
        <w:numPr>
          <w:ilvl w:val="0"/>
          <w:numId w:val="0"/>
        </w:numPr>
        <w:ind w:hanging="0" w:start="0"/>
        <w:jc w:val="both"/>
        <w:rPr/>
      </w:pPr>
      <w:r>
        <w:rPr/>
      </w:r>
    </w:p>
    <w:p>
      <w:pPr>
        <w:pStyle w:val="Normal"/>
        <w:numPr>
          <w:ilvl w:val="0"/>
          <w:numId w:val="2"/>
        </w:numPr>
        <w:tabs>
          <w:tab w:val="left" w:pos="720" w:leader="none"/>
        </w:tabs>
        <w:ind w:firstLine="720" w:start="720" w:end="0"/>
        <w:jc w:val="both"/>
        <w:rPr/>
      </w:pPr>
      <w:r>
        <w:rPr/>
        <w:t>Major project costs and expenditures will be contracted for and incurred in the name of Owner.</w:t>
      </w:r>
    </w:p>
    <w:p>
      <w:pPr>
        <w:pStyle w:val="Normal"/>
        <w:jc w:val="both"/>
        <w:rPr/>
      </w:pPr>
      <w:r>
        <w:rPr/>
      </w:r>
    </w:p>
    <w:p>
      <w:pPr>
        <w:pStyle w:val="Normal"/>
        <w:tabs>
          <w:tab w:val="clear" w:pos="720"/>
          <w:tab w:val="left" w:pos="1440" w:leader="none"/>
        </w:tabs>
        <w:ind w:firstLine="630" w:start="90" w:end="0"/>
        <w:jc w:val="both"/>
        <w:rPr/>
      </w:pPr>
      <w:r>
        <w:rPr>
          <w:u w:val="single"/>
        </w:rPr>
        <w:t>8.8</w:t>
        <w:tab/>
        <w:t>Audit and Maintenance of Records</w:t>
      </w:r>
      <w:r>
        <w:rPr/>
        <w:t>.  Owner shall have the right to inspect and audit all the records, books, reports, data and processes related to the services performed by Operator at all reasonable times during the term of this Agreement and, unless otherwise directed by Owner,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u w:val="single"/>
        </w:rPr>
        <w:t>8.9</w:t>
        <w:tab/>
        <w:t>Severability</w:t>
      </w:r>
      <w:r>
        <w:rPr/>
        <w:t>.  If any of the provisions, portions or application of this Agreement are held to be unenforceable or invalid by any court of competent jurisdiction, Owner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u w:val="single"/>
        </w:rPr>
        <w:t>8.10</w:t>
        <w:tab/>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u w:val="single"/>
        </w:rPr>
        <w:t>8.11</w:t>
        <w:tab/>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u w:val="single"/>
        </w:rPr>
        <w:t>8.12</w:t>
        <w:tab/>
        <w:t>Effective Date</w:t>
      </w:r>
      <w:r>
        <w:rPr/>
        <w:t>.  This Agreement is effective upon execution by both Parties.  The obligation to provide and pay for services hereunder shall not, however, commence until the Start Date.  If services are not being provided hereunder by the Parties agree that Operator may terminate this Agreement.  If Operator becomes the owner of the Compressor Motor Facilities, this Agreement shall terminate.</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Owner:</w:t>
      </w:r>
    </w:p>
    <w:p>
      <w:pPr>
        <w:pStyle w:val="Normal"/>
        <w:jc w:val="both"/>
        <w:rPr/>
      </w:pPr>
      <w:r>
        <w:rPr/>
      </w:r>
    </w:p>
    <w:p>
      <w:pPr>
        <w:pStyle w:val="Heading2"/>
        <w:ind w:hanging="0" w:start="5040" w:end="0"/>
        <w:jc w:val="start"/>
        <w:rPr>
          <w:u w:val="none"/>
        </w:rPr>
      </w:pPr>
      <w:r>
        <w:rPr>
          <w:u w:val="none"/>
        </w:rPr>
        <w:t>ENRON CAPITAL &amp; TRADE</w:t>
      </w:r>
    </w:p>
    <w:p>
      <w:pPr>
        <w:pStyle w:val="Normal"/>
        <w:ind w:start="5040" w:end="0"/>
        <w:jc w:val="both"/>
        <w:rPr>
          <w:b/>
        </w:rPr>
      </w:pPr>
      <w:r>
        <w:rPr>
          <w:b/>
        </w:rPr>
        <w:t>RESOURCES CORP.</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pPr>
      <w:r>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p>
    <w:p>
      <w:pPr>
        <w:pStyle w:val="Heading3"/>
        <w:ind w:hanging="0" w:start="1260" w:end="0"/>
        <w:rPr/>
      </w:pPr>
      <w:r>
        <w:rPr/>
        <w:t>Electric Motor - 7,000 HP</w:t>
      </w:r>
    </w:p>
    <w:p>
      <w:pPr>
        <w:pStyle w:val="Normal"/>
        <w:ind w:start="1260" w:end="0"/>
        <w:jc w:val="both"/>
        <w:rPr/>
      </w:pPr>
      <w:r>
        <w:rPr/>
        <w:t>Variable Frequency Drive - 7,000 HP</w:t>
      </w:r>
    </w:p>
    <w:p>
      <w:pPr>
        <w:pStyle w:val="Normal"/>
        <w:ind w:start="1260" w:end="0"/>
        <w:jc w:val="both"/>
        <w:rPr/>
      </w:pPr>
      <w:r>
        <w:rPr/>
        <w:t>Harmonic Filter &amp; Power Factor Correction</w:t>
      </w:r>
    </w:p>
    <w:p>
      <w:pPr>
        <w:pStyle w:val="Normal"/>
        <w:ind w:start="1260" w:end="0"/>
        <w:jc w:val="both"/>
        <w:rPr/>
      </w:pPr>
      <w:r>
        <w:rPr/>
        <w:t>Isolation Transformer</w:t>
      </w:r>
    </w:p>
    <w:p>
      <w:pPr>
        <w:pStyle w:val="Heading4"/>
        <w:rPr/>
      </w:pPr>
      <w:r>
        <w:rPr/>
        <w:t>115 KV Substation</w:t>
      </w:r>
    </w:p>
    <w:p>
      <w:pPr>
        <w:pStyle w:val="Normal"/>
        <w:ind w:start="1260" w:end="0"/>
        <w:jc w:val="both"/>
        <w:rPr/>
      </w:pPr>
      <w:r>
        <w:rPr/>
        <w:t>Electric Engineered Equipment:</w:t>
      </w:r>
    </w:p>
    <w:p>
      <w:pPr>
        <w:pStyle w:val="Normal"/>
        <w:ind w:start="2070" w:end="0"/>
        <w:jc w:val="both"/>
        <w:rPr/>
      </w:pPr>
      <w:r>
        <w:rPr/>
        <w:t>12470V/480V750 KVa MCC Transformer</w:t>
      </w:r>
    </w:p>
    <w:p>
      <w:pPr>
        <w:pStyle w:val="Heading4"/>
        <w:ind w:start="2070" w:end="0"/>
        <w:rPr/>
      </w:pPr>
      <w:r>
        <w:rPr/>
        <w:t>480 V Motor Control Center</w:t>
      </w:r>
    </w:p>
    <w:p>
      <w:pPr>
        <w:pStyle w:val="Normal"/>
        <w:ind w:start="2070" w:end="0"/>
        <w:jc w:val="both"/>
        <w:rPr/>
      </w:pPr>
      <w:r>
        <w:rPr/>
        <w:t>Fire &amp; Gas Detection System</w:t>
      </w:r>
    </w:p>
    <w:p>
      <w:pPr>
        <w:pStyle w:val="Normal"/>
        <w:ind w:start="2070" w:end="0"/>
        <w:jc w:val="both"/>
        <w:rPr/>
      </w:pPr>
      <w:r>
        <w:rPr/>
        <w:t>ESD/BSD Panel</w:t>
      </w:r>
    </w:p>
    <w:p>
      <w:pPr>
        <w:pStyle w:val="Normal"/>
        <w:ind w:start="2070" w:end="0"/>
        <w:jc w:val="both"/>
        <w:rPr/>
      </w:pPr>
      <w:r>
        <w:rPr/>
        <w:t>5 KVA AC/DC UPS Systems</w:t>
      </w:r>
    </w:p>
    <w:p>
      <w:pPr>
        <w:pStyle w:val="Normal"/>
        <w:ind w:start="2070" w:end="0"/>
        <w:jc w:val="both"/>
        <w:rPr/>
      </w:pPr>
      <w:r>
        <w:rPr/>
        <w:t xml:space="preserve">Intrusion System </w:t>
      </w:r>
      <w:r>
        <w:br w:type="page"/>
      </w:r>
    </w:p>
    <w:p>
      <w:pPr>
        <w:pStyle w:val="Normal"/>
        <w:jc w:val="center"/>
        <w:rPr>
          <w:b/>
        </w:rPr>
      </w:pPr>
      <w:r>
        <w:rPr>
          <w:b/>
        </w:rPr>
        <w:t>EXHIBIT "B"</w:t>
      </w:r>
    </w:p>
    <w:p>
      <w:pPr>
        <w:pStyle w:val="Normal"/>
        <w:jc w:val="center"/>
        <w:rPr>
          <w:b/>
        </w:rPr>
      </w:pPr>
      <w:r>
        <w:rPr>
          <w:b/>
        </w:rPr>
      </w:r>
    </w:p>
    <w:p>
      <w:pPr>
        <w:pStyle w:val="Heading5"/>
        <w:ind w:hanging="0" w:start="0"/>
        <w:rPr>
          <w:b/>
        </w:rPr>
      </w:pPr>
      <w:r>
        <w:rPr>
          <w:b/>
        </w:rPr>
        <w:t>SCHEDULE OF ANNUAL OPERATING AND MAINTENANCE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Operating and Maintenance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2160" w:hanging="720"/>
      </w:pPr>
    </w:lvl>
  </w:abstractNum>
  <w:abstractNum w:abstractNumId="3">
    <w:lvl w:ilvl="0">
      <w:start w:val="2"/>
      <w:numFmt w:val="lowerLetter"/>
      <w:lvlText w:val="(%1)"/>
      <w:lvlJc w:val="start"/>
      <w:pPr>
        <w:tabs>
          <w:tab w:val="num" w:pos="1080"/>
        </w:tabs>
        <w:ind w:start="1800" w:hanging="1080"/>
      </w:pPr>
    </w:lvl>
  </w:abstractNum>
  <w:abstractNum w:abstractNumId="4">
    <w:lvl w:ilvl="0">
      <w:start w:val="2"/>
      <w:numFmt w:val="lowerRoman"/>
      <w:lvlText w:val="(%1)"/>
      <w:lvlJc w:val="start"/>
      <w:pPr>
        <w:tabs>
          <w:tab w:val="num" w:pos="2160"/>
        </w:tabs>
        <w:ind w:start="2160" w:hanging="720"/>
      </w:pPr>
      <w:rPr/>
    </w:lvl>
  </w:abstractNum>
  <w:abstractNum w:abstractNumId="5">
    <w:lvl w:ilvl="0">
      <w:start w:val="1"/>
      <w:numFmt w:val="lowerLetter"/>
      <w:lvlText w:val="(%1)"/>
      <w:lvlJc w:val="start"/>
      <w:pPr>
        <w:tabs>
          <w:tab w:val="num" w:pos="720"/>
        </w:tabs>
        <w:ind w:start="1440" w:hanging="720"/>
      </w:pPr>
    </w:lvl>
  </w:abstractNum>
  <w:abstractNum w:abstractNumId="6">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1999-05-10T14:17:00Z</dcterms:created>
  <dc:creator>ebraden</dc:creator>
  <dc:description/>
  <dc:language>en-CA</dc:language>
  <cp:lastModifiedBy>gnemec</cp:lastModifiedBy>
  <cp:lastPrinted>1999-05-10T16:49:00Z</cp:lastPrinted>
  <dcterms:modified xsi:type="dcterms:W3CDTF">1999-05-25T20:05:00Z</dcterms:modified>
  <cp:revision>4</cp:revision>
  <dc:subject/>
  <dc:title>OPERATIONS AND MAINTENANCE AGREEMENT</dc:title>
</cp:coreProperties>
</file>