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rPr>
      </w:pPr>
      <w:r>
        <w:rPr>
          <w:smallCaps/>
        </w:rPr>
        <w:t>Confirmation of Scheduled</w:t>
      </w:r>
    </w:p>
    <w:p>
      <w:pPr>
        <w:pStyle w:val="Heading"/>
        <w:rPr>
          <w:smallCaps/>
        </w:rPr>
      </w:pPr>
      <w:r>
        <w:rPr>
          <w:smallCaps/>
        </w:rPr>
        <w:t>Delivery Points</w:t>
      </w:r>
    </w:p>
    <w:p>
      <w:pPr>
        <w:pStyle w:val="Normal"/>
        <w:jc w:val="center"/>
        <w:rPr>
          <w:b/>
          <w:smallCaps/>
        </w:rPr>
      </w:pPr>
      <w:r>
        <w:rPr>
          <w:b/>
          <w:smallCaps/>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1"/>
        <w:ind w:hanging="0" w:start="0"/>
        <w:rPr>
          <w:b w:val="false"/>
          <w:u w:val="none"/>
        </w:rPr>
      </w:pPr>
      <w:r>
        <w:rPr>
          <w:u w:val="none"/>
        </w:rPr>
        <w:t>Via Fax:  (423) 751-6595</w:t>
      </w:r>
    </w:p>
    <w:p>
      <w:pPr>
        <w:pStyle w:val="Normal"/>
        <w:rPr>
          <w:b/>
          <w:u w:val="single"/>
        </w:rPr>
      </w:pPr>
      <w:r>
        <w:rPr>
          <w:b/>
          <w:u w:val="single"/>
        </w:rPr>
      </w:r>
    </w:p>
    <w:p>
      <w:pPr>
        <w:pStyle w:val="Normal"/>
        <w:rPr>
          <w:b/>
          <w:u w:val="single"/>
        </w:rPr>
      </w:pPr>
      <w:r>
        <w:rPr>
          <w:b/>
          <w:u w:val="single"/>
        </w:rPr>
      </w:r>
    </w:p>
    <w:p>
      <w:pPr>
        <w:pStyle w:val="Normal"/>
        <w:rPr/>
      </w:pPr>
      <w:r>
        <w:rPr/>
        <w:t>Tennessee Valley Authority</w:t>
      </w:r>
    </w:p>
    <w:p>
      <w:pPr>
        <w:pStyle w:val="Normal"/>
        <w:rPr/>
      </w:pPr>
      <w:r>
        <w:rPr/>
        <w:t>1101 Market Street</w:t>
      </w:r>
    </w:p>
    <w:p>
      <w:pPr>
        <w:pStyle w:val="Normal"/>
        <w:rPr/>
      </w:pPr>
      <w:r>
        <w:rPr/>
        <w:t>Chattanooga, Tennessee 37402-2601</w:t>
      </w:r>
    </w:p>
    <w:p>
      <w:pPr>
        <w:pStyle w:val="Normal"/>
        <w:rPr>
          <w:b/>
          <w:u w:val="single"/>
        </w:rPr>
      </w:pPr>
      <w:r>
        <w:rPr/>
        <w:t>Attn:</w:t>
      </w:r>
      <w:r>
        <w:rPr>
          <w:b/>
        </w:rPr>
        <w:t xml:space="preserve">  </w:t>
      </w:r>
      <w:r>
        <w:rPr/>
        <w:t>Electric Systems Operations</w:t>
      </w:r>
    </w:p>
    <w:p>
      <w:pPr>
        <w:pStyle w:val="Normal"/>
        <w:rPr>
          <w:b/>
          <w:u w:val="single"/>
        </w:rPr>
      </w:pPr>
      <w:r>
        <w:rPr>
          <w:b/>
          <w:u w:val="single"/>
        </w:rPr>
      </w:r>
    </w:p>
    <w:p>
      <w:pPr>
        <w:pStyle w:val="Normal"/>
        <w:ind w:hanging="720" w:start="1440" w:end="0"/>
        <w:jc w:val="both"/>
        <w:rPr/>
      </w:pPr>
      <w:r>
        <w:rPr>
          <w:b/>
        </w:rPr>
        <w:t>RE:</w:t>
        <w:tab/>
      </w:r>
      <w:r>
        <w:rPr>
          <w:i/>
        </w:rPr>
        <w:t>Scheduling of Energy under Master Option Purchase Agreement dated December 6, 1995, with Tennessee Valley Authority</w:t>
      </w:r>
    </w:p>
    <w:p>
      <w:pPr>
        <w:pStyle w:val="Normal"/>
        <w:rPr>
          <w:i/>
          <w:i/>
        </w:rPr>
      </w:pPr>
      <w:r>
        <w:rPr>
          <w:i/>
        </w:rPr>
      </w:r>
    </w:p>
    <w:p>
      <w:pPr>
        <w:pStyle w:val="Normal"/>
        <w:rPr/>
      </w:pPr>
      <w:r>
        <w:rPr/>
        <w:t>Ladies and Gentlemen:</w:t>
      </w:r>
    </w:p>
    <w:p>
      <w:pPr>
        <w:pStyle w:val="Normal"/>
        <w:rPr/>
      </w:pPr>
      <w:r>
        <w:rPr/>
      </w:r>
    </w:p>
    <w:p>
      <w:pPr>
        <w:pStyle w:val="BodyText"/>
        <w:rPr>
          <w:sz w:val="22"/>
        </w:rPr>
      </w:pPr>
      <w:r>
        <w:rPr>
          <w:sz w:val="22"/>
        </w:rPr>
        <w:tab/>
        <w:t>We refer you to the Agreement described above, with capitalized terms used in this confirmation having the meanings given them in that Agreement.  In accordance with Section 4.1(d) of the Agreement, Seller designates the following Scheduled Delivery Points for July 3, 2000:</w:t>
      </w:r>
    </w:p>
    <w:p>
      <w:pPr>
        <w:pStyle w:val="Normal"/>
        <w:rPr>
          <w:sz w:val="22"/>
        </w:rPr>
      </w:pPr>
      <w:r>
        <w:rPr>
          <w:sz w:val="22"/>
        </w:rPr>
      </w:r>
    </w:p>
    <w:tbl>
      <w:tblPr>
        <w:tblW w:w="9375" w:type="dxa"/>
        <w:jc w:val="start"/>
        <w:tblInd w:w="183" w:type="dxa"/>
        <w:tblLayout w:type="fixed"/>
        <w:tblCellMar>
          <w:top w:w="0" w:type="dxa"/>
          <w:start w:w="108" w:type="dxa"/>
          <w:bottom w:w="0" w:type="dxa"/>
          <w:end w:w="108" w:type="dxa"/>
        </w:tblCellMar>
      </w:tblPr>
      <w:tblGrid>
        <w:gridCol w:w="3705"/>
        <w:gridCol w:w="1920"/>
        <w:gridCol w:w="1860"/>
        <w:gridCol w:w="1890"/>
      </w:tblGrid>
      <w:tr>
        <w:trPr>
          <w:trHeight w:val="705" w:hRule="atLeast"/>
        </w:trPr>
        <w:tc>
          <w:tcPr>
            <w:tcW w:w="3705" w:type="dxa"/>
            <w:vMerge w:val="restart"/>
            <w:tcBorders>
              <w:top w:val="double" w:sz="4" w:space="0" w:color="000000"/>
              <w:start w:val="double" w:sz="4" w:space="0" w:color="000000"/>
              <w:end w:val="single" w:sz="4" w:space="0" w:color="000000"/>
            </w:tcBorders>
          </w:tcPr>
          <w:p>
            <w:pPr>
              <w:pStyle w:val="Normal"/>
              <w:snapToGrid w:val="false"/>
              <w:jc w:val="center"/>
              <w:rPr/>
            </w:pPr>
            <w:r>
              <w:rPr/>
            </w:r>
          </w:p>
          <w:p>
            <w:pPr>
              <w:pStyle w:val="Heading2"/>
              <w:ind w:hanging="0" w:start="0"/>
              <w:rPr>
                <w:sz w:val="22"/>
              </w:rPr>
            </w:pPr>
            <w:r>
              <w:rPr>
                <w:sz w:val="22"/>
              </w:rPr>
              <w:t xml:space="preserve">Scheduled </w:t>
            </w:r>
          </w:p>
          <w:p>
            <w:pPr>
              <w:pStyle w:val="Normal"/>
              <w:jc w:val="center"/>
              <w:rPr>
                <w:b/>
              </w:rPr>
            </w:pPr>
            <w:r>
              <w:rPr>
                <w:b/>
              </w:rPr>
              <w:t>Delivery</w:t>
            </w:r>
          </w:p>
          <w:p>
            <w:pPr>
              <w:pStyle w:val="Normal"/>
              <w:jc w:val="center"/>
              <w:rPr>
                <w:b/>
              </w:rPr>
            </w:pPr>
            <w:r>
              <w:rPr>
                <w:b/>
              </w:rPr>
              <w:t>Point</w:t>
            </w:r>
          </w:p>
        </w:tc>
        <w:tc>
          <w:tcPr>
            <w:tcW w:w="3780" w:type="dxa"/>
            <w:gridSpan w:val="2"/>
            <w:tcBorders>
              <w:top w:val="double" w:sz="4" w:space="0" w:color="000000"/>
              <w:start w:val="single" w:sz="4" w:space="0" w:color="000000"/>
              <w:bottom w:val="single" w:sz="4" w:space="0" w:color="000000"/>
              <w:end w:val="single" w:sz="4" w:space="0" w:color="000000"/>
            </w:tcBorders>
          </w:tcPr>
          <w:p>
            <w:pPr>
              <w:pStyle w:val="Normal"/>
              <w:jc w:val="center"/>
              <w:rPr>
                <w:b/>
              </w:rPr>
            </w:pPr>
            <w:r>
              <w:rPr>
                <w:b/>
              </w:rPr>
              <w:t>Period</w:t>
            </w:r>
          </w:p>
          <w:p>
            <w:pPr>
              <w:pStyle w:val="Normal"/>
              <w:jc w:val="center"/>
              <w:rPr>
                <w:b/>
              </w:rPr>
            </w:pPr>
            <w:r>
              <w:rPr>
                <w:b/>
              </w:rPr>
              <w:t>(Central Time)</w:t>
            </w:r>
          </w:p>
        </w:tc>
        <w:tc>
          <w:tcPr>
            <w:tcW w:w="1890" w:type="dxa"/>
            <w:vMerge w:val="restart"/>
            <w:tcBorders>
              <w:top w:val="double" w:sz="4" w:space="0" w:color="000000"/>
              <w:start w:val="single" w:sz="4" w:space="0" w:color="000000"/>
              <w:end w:val="double" w:sz="4" w:space="0" w:color="000000"/>
            </w:tcBorders>
          </w:tcPr>
          <w:p>
            <w:pPr>
              <w:pStyle w:val="Normal"/>
              <w:snapToGrid w:val="false"/>
              <w:rPr>
                <w:b/>
              </w:rPr>
            </w:pPr>
            <w:r>
              <w:rPr>
                <w:b/>
              </w:rPr>
            </w:r>
          </w:p>
          <w:p>
            <w:pPr>
              <w:pStyle w:val="Normal"/>
              <w:jc w:val="center"/>
              <w:rPr>
                <w:b/>
              </w:rPr>
            </w:pPr>
            <w:r>
              <w:rPr>
                <w:b/>
              </w:rPr>
              <w:t xml:space="preserve">Rate of </w:t>
            </w:r>
          </w:p>
          <w:p>
            <w:pPr>
              <w:pStyle w:val="Normal"/>
              <w:jc w:val="center"/>
              <w:rPr>
                <w:b/>
              </w:rPr>
            </w:pPr>
            <w:r>
              <w:rPr>
                <w:b/>
              </w:rPr>
              <w:t>Delivery</w:t>
            </w:r>
          </w:p>
          <w:p>
            <w:pPr>
              <w:pStyle w:val="Normal"/>
              <w:jc w:val="center"/>
              <w:rPr>
                <w:b/>
              </w:rPr>
            </w:pPr>
            <w:r>
              <w:rPr>
                <w:b/>
              </w:rPr>
              <w:t>(MW)</w:t>
            </w:r>
          </w:p>
        </w:tc>
      </w:tr>
      <w:tr>
        <w:trPr>
          <w:trHeight w:val="492" w:hRule="atLeast"/>
        </w:trPr>
        <w:tc>
          <w:tcPr>
            <w:tcW w:w="3705" w:type="dxa"/>
            <w:vMerge w:val="continue"/>
            <w:tcBorders>
              <w:top w:val="double" w:sz="4" w:space="0" w:color="000000"/>
              <w:start w:val="double" w:sz="4" w:space="0" w:color="000000"/>
              <w:end w:val="single" w:sz="4" w:space="0" w:color="000000"/>
            </w:tcBorders>
          </w:tcPr>
          <w:p>
            <w:pPr>
              <w:pStyle w:val="Normal"/>
              <w:snapToGrid w:val="false"/>
              <w:rPr>
                <w:b/>
              </w:rPr>
            </w:pPr>
            <w:r>
              <w:rPr>
                <w:b/>
              </w:rPr>
            </w:r>
          </w:p>
        </w:tc>
        <w:tc>
          <w:tcPr>
            <w:tcW w:w="19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Start</w:t>
            </w:r>
          </w:p>
        </w:tc>
        <w:tc>
          <w:tcPr>
            <w:tcW w:w="186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End</w:t>
            </w:r>
          </w:p>
        </w:tc>
        <w:tc>
          <w:tcPr>
            <w:tcW w:w="1890" w:type="dxa"/>
            <w:vMerge w:val="continue"/>
            <w:tcBorders>
              <w:top w:val="double" w:sz="4" w:space="0" w:color="000000"/>
              <w:start w:val="single" w:sz="4" w:space="0" w:color="000000"/>
              <w:end w:val="double" w:sz="4" w:space="0" w:color="000000"/>
            </w:tcBorders>
          </w:tcPr>
          <w:p>
            <w:pPr>
              <w:pStyle w:val="Normal"/>
              <w:snapToGrid w:val="false"/>
              <w:rPr/>
            </w:pPr>
            <w:r>
              <w:rPr/>
            </w:r>
          </w:p>
        </w:tc>
      </w:tr>
      <w:tr>
        <w:trPr>
          <w:trHeight w:val="422" w:hRule="atLeast"/>
        </w:trPr>
        <w:tc>
          <w:tcPr>
            <w:tcW w:w="3705" w:type="dxa"/>
            <w:tcBorders>
              <w:top w:val="single" w:sz="4" w:space="0" w:color="000000"/>
              <w:start w:val="double" w:sz="4" w:space="0" w:color="000000"/>
              <w:bottom w:val="single" w:sz="4" w:space="0" w:color="000000"/>
              <w:end w:val="single" w:sz="4" w:space="0" w:color="000000"/>
            </w:tcBorders>
          </w:tcPr>
          <w:p>
            <w:pPr>
              <w:pStyle w:val="Normal"/>
              <w:snapToGrid w:val="false"/>
              <w:rPr/>
            </w:pPr>
            <w:r>
              <w:rPr/>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double" w:sz="4" w:space="0" w:color="000000"/>
            </w:tcBorders>
          </w:tcPr>
          <w:p>
            <w:pPr>
              <w:pStyle w:val="Normal"/>
              <w:snapToGrid w:val="false"/>
              <w:rPr/>
            </w:pPr>
            <w:r>
              <w:rPr/>
            </w:r>
          </w:p>
        </w:tc>
      </w:tr>
      <w:tr>
        <w:trPr>
          <w:trHeight w:val="458" w:hRule="atLeast"/>
        </w:trPr>
        <w:tc>
          <w:tcPr>
            <w:tcW w:w="3705" w:type="dxa"/>
            <w:tcBorders>
              <w:top w:val="single" w:sz="4" w:space="0" w:color="000000"/>
              <w:start w:val="double" w:sz="4" w:space="0" w:color="000000"/>
              <w:bottom w:val="single" w:sz="4" w:space="0" w:color="000000"/>
              <w:end w:val="single" w:sz="4" w:space="0" w:color="000000"/>
            </w:tcBorders>
          </w:tcPr>
          <w:p>
            <w:pPr>
              <w:pStyle w:val="Normal"/>
              <w:rPr/>
            </w:pPr>
            <w:r>
              <w:rPr/>
              <w:t>AMRN</w:t>
            </w:r>
          </w:p>
        </w:tc>
        <w:tc>
          <w:tcPr>
            <w:tcW w:w="1920" w:type="dxa"/>
            <w:tcBorders>
              <w:top w:val="single" w:sz="4" w:space="0" w:color="000000"/>
              <w:start w:val="single" w:sz="4" w:space="0" w:color="000000"/>
              <w:bottom w:val="single" w:sz="4" w:space="0" w:color="000000"/>
              <w:end w:val="single" w:sz="4" w:space="0" w:color="000000"/>
            </w:tcBorders>
          </w:tcPr>
          <w:p>
            <w:pPr>
              <w:pStyle w:val="Normal"/>
              <w:rPr/>
            </w:pPr>
            <w:r>
              <w:rPr/>
              <w:t>HE 0600</w:t>
            </w:r>
          </w:p>
        </w:tc>
        <w:tc>
          <w:tcPr>
            <w:tcW w:w="1860" w:type="dxa"/>
            <w:tcBorders>
              <w:top w:val="single" w:sz="4" w:space="0" w:color="000000"/>
              <w:start w:val="single" w:sz="4" w:space="0" w:color="000000"/>
              <w:bottom w:val="single" w:sz="4" w:space="0" w:color="000000"/>
              <w:end w:val="single" w:sz="4" w:space="0" w:color="000000"/>
            </w:tcBorders>
          </w:tcPr>
          <w:p>
            <w:pPr>
              <w:pStyle w:val="Normal"/>
              <w:rPr/>
            </w:pPr>
            <w:r>
              <w:rPr/>
              <w:t>HE 2300</w:t>
            </w:r>
          </w:p>
        </w:tc>
        <w:tc>
          <w:tcPr>
            <w:tcW w:w="1890" w:type="dxa"/>
            <w:tcBorders>
              <w:top w:val="single" w:sz="4" w:space="0" w:color="000000"/>
              <w:start w:val="single" w:sz="4" w:space="0" w:color="000000"/>
              <w:bottom w:val="single" w:sz="4" w:space="0" w:color="000000"/>
              <w:end w:val="double" w:sz="4" w:space="0" w:color="000000"/>
            </w:tcBorders>
          </w:tcPr>
          <w:p>
            <w:pPr>
              <w:pStyle w:val="Normal"/>
              <w:rPr/>
            </w:pPr>
            <w:r>
              <w:rPr/>
              <w:t>1000</w:t>
            </w:r>
          </w:p>
        </w:tc>
      </w:tr>
      <w:tr>
        <w:trPr>
          <w:trHeight w:val="458" w:hRule="atLeast"/>
        </w:trPr>
        <w:tc>
          <w:tcPr>
            <w:tcW w:w="3705" w:type="dxa"/>
            <w:tcBorders>
              <w:top w:val="single" w:sz="4" w:space="0" w:color="000000"/>
              <w:start w:val="double" w:sz="4" w:space="0" w:color="000000"/>
              <w:bottom w:val="single" w:sz="4" w:space="0" w:color="000000"/>
              <w:end w:val="single" w:sz="4" w:space="0" w:color="000000"/>
            </w:tcBorders>
          </w:tcPr>
          <w:p>
            <w:pPr>
              <w:pStyle w:val="Normal"/>
              <w:rPr/>
            </w:pPr>
            <w:r>
              <w:rPr/>
              <w:t>BREC</w:t>
            </w:r>
          </w:p>
        </w:tc>
        <w:tc>
          <w:tcPr>
            <w:tcW w:w="1920" w:type="dxa"/>
            <w:tcBorders>
              <w:top w:val="single" w:sz="4" w:space="0" w:color="000000"/>
              <w:start w:val="single" w:sz="4" w:space="0" w:color="000000"/>
              <w:bottom w:val="single" w:sz="4" w:space="0" w:color="000000"/>
              <w:end w:val="single" w:sz="4" w:space="0" w:color="000000"/>
            </w:tcBorders>
          </w:tcPr>
          <w:p>
            <w:pPr>
              <w:pStyle w:val="Normal"/>
              <w:rPr/>
            </w:pPr>
            <w:r>
              <w:rPr/>
              <w:t>HE 0600</w:t>
            </w:r>
          </w:p>
        </w:tc>
        <w:tc>
          <w:tcPr>
            <w:tcW w:w="1860" w:type="dxa"/>
            <w:tcBorders>
              <w:top w:val="single" w:sz="4" w:space="0" w:color="000000"/>
              <w:start w:val="single" w:sz="4" w:space="0" w:color="000000"/>
              <w:bottom w:val="single" w:sz="4" w:space="0" w:color="000000"/>
              <w:end w:val="single" w:sz="4" w:space="0" w:color="000000"/>
            </w:tcBorders>
          </w:tcPr>
          <w:p>
            <w:pPr>
              <w:pStyle w:val="Normal"/>
              <w:rPr/>
            </w:pPr>
            <w:r>
              <w:rPr/>
              <w:t>HE 2300</w:t>
            </w:r>
          </w:p>
        </w:tc>
        <w:tc>
          <w:tcPr>
            <w:tcW w:w="1890" w:type="dxa"/>
            <w:tcBorders>
              <w:top w:val="single" w:sz="4" w:space="0" w:color="000000"/>
              <w:start w:val="single" w:sz="4" w:space="0" w:color="000000"/>
              <w:bottom w:val="single" w:sz="4" w:space="0" w:color="000000"/>
              <w:end w:val="double" w:sz="4" w:space="0" w:color="000000"/>
            </w:tcBorders>
          </w:tcPr>
          <w:p>
            <w:pPr>
              <w:pStyle w:val="Normal"/>
              <w:rPr/>
            </w:pPr>
            <w:r>
              <w:rPr/>
              <w:t>200</w:t>
            </w:r>
          </w:p>
        </w:tc>
      </w:tr>
      <w:tr>
        <w:trPr>
          <w:trHeight w:val="458" w:hRule="atLeast"/>
        </w:trPr>
        <w:tc>
          <w:tcPr>
            <w:tcW w:w="3705" w:type="dxa"/>
            <w:tcBorders>
              <w:top w:val="single" w:sz="4" w:space="0" w:color="000000"/>
              <w:start w:val="double" w:sz="4" w:space="0" w:color="000000"/>
              <w:end w:val="single" w:sz="4" w:space="0" w:color="000000"/>
            </w:tcBorders>
          </w:tcPr>
          <w:p>
            <w:pPr>
              <w:pStyle w:val="Normal"/>
              <w:snapToGrid w:val="false"/>
              <w:rPr/>
            </w:pPr>
            <w:r>
              <w:rPr/>
            </w:r>
          </w:p>
        </w:tc>
        <w:tc>
          <w:tcPr>
            <w:tcW w:w="1920" w:type="dxa"/>
            <w:tcBorders>
              <w:top w:val="single" w:sz="4" w:space="0" w:color="000000"/>
              <w:start w:val="single" w:sz="4" w:space="0" w:color="000000"/>
              <w:end w:val="single" w:sz="4" w:space="0" w:color="000000"/>
            </w:tcBorders>
          </w:tcPr>
          <w:p>
            <w:pPr>
              <w:pStyle w:val="Normal"/>
              <w:snapToGrid w:val="false"/>
              <w:rPr/>
            </w:pPr>
            <w:r>
              <w:rPr/>
            </w:r>
          </w:p>
        </w:tc>
        <w:tc>
          <w:tcPr>
            <w:tcW w:w="1860" w:type="dxa"/>
            <w:tcBorders>
              <w:top w:val="single" w:sz="4" w:space="0" w:color="000000"/>
              <w:start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end w:val="double" w:sz="4" w:space="0" w:color="000000"/>
            </w:tcBorders>
          </w:tcPr>
          <w:p>
            <w:pPr>
              <w:pStyle w:val="Normal"/>
              <w:snapToGrid w:val="false"/>
              <w:rPr/>
            </w:pPr>
            <w:r>
              <w:rPr/>
            </w:r>
          </w:p>
        </w:tc>
      </w:tr>
      <w:tr>
        <w:trPr>
          <w:trHeight w:val="458" w:hRule="atLeast"/>
        </w:trPr>
        <w:tc>
          <w:tcPr>
            <w:tcW w:w="3705" w:type="dxa"/>
            <w:tcBorders>
              <w:top w:val="single" w:sz="4" w:space="0" w:color="000000"/>
              <w:start w:val="double" w:sz="4" w:space="0" w:color="000000"/>
              <w:end w:val="single" w:sz="4" w:space="0" w:color="000000"/>
            </w:tcBorders>
          </w:tcPr>
          <w:p>
            <w:pPr>
              <w:pStyle w:val="Normal"/>
              <w:snapToGrid w:val="false"/>
              <w:rPr/>
            </w:pPr>
            <w:r>
              <w:rPr/>
            </w:r>
          </w:p>
        </w:tc>
        <w:tc>
          <w:tcPr>
            <w:tcW w:w="1920" w:type="dxa"/>
            <w:tcBorders>
              <w:top w:val="single" w:sz="4" w:space="0" w:color="000000"/>
              <w:start w:val="single" w:sz="4" w:space="0" w:color="000000"/>
              <w:end w:val="single" w:sz="4" w:space="0" w:color="000000"/>
            </w:tcBorders>
          </w:tcPr>
          <w:p>
            <w:pPr>
              <w:pStyle w:val="Normal"/>
              <w:rPr/>
            </w:pPr>
            <w:r>
              <w:rPr/>
              <w:t xml:space="preserve"> </w:t>
            </w:r>
          </w:p>
        </w:tc>
        <w:tc>
          <w:tcPr>
            <w:tcW w:w="1860" w:type="dxa"/>
            <w:tcBorders>
              <w:top w:val="single" w:sz="4" w:space="0" w:color="000000"/>
              <w:start w:val="single" w:sz="4" w:space="0" w:color="000000"/>
              <w:end w:val="single" w:sz="4" w:space="0" w:color="000000"/>
            </w:tcBorders>
          </w:tcPr>
          <w:p>
            <w:pPr>
              <w:pStyle w:val="Normal"/>
              <w:rPr/>
            </w:pPr>
            <w:r>
              <w:rPr/>
              <w:t xml:space="preserve"> </w:t>
            </w:r>
          </w:p>
        </w:tc>
        <w:tc>
          <w:tcPr>
            <w:tcW w:w="1890" w:type="dxa"/>
            <w:tcBorders>
              <w:top w:val="single" w:sz="4" w:space="0" w:color="000000"/>
              <w:start w:val="single" w:sz="4" w:space="0" w:color="000000"/>
              <w:end w:val="double" w:sz="4" w:space="0" w:color="000000"/>
            </w:tcBorders>
          </w:tcPr>
          <w:p>
            <w:pPr>
              <w:pStyle w:val="Normal"/>
              <w:rPr/>
            </w:pPr>
            <w:r>
              <w:rPr/>
              <w:t xml:space="preserve"> </w:t>
            </w:r>
          </w:p>
        </w:tc>
      </w:tr>
      <w:tr>
        <w:trPr>
          <w:trHeight w:val="458" w:hRule="atLeast"/>
        </w:trPr>
        <w:tc>
          <w:tcPr>
            <w:tcW w:w="3705" w:type="dxa"/>
            <w:tcBorders>
              <w:top w:val="single" w:sz="4" w:space="0" w:color="000000"/>
              <w:start w:val="double" w:sz="4" w:space="0" w:color="000000"/>
              <w:end w:val="single" w:sz="4" w:space="0" w:color="000000"/>
            </w:tcBorders>
          </w:tcPr>
          <w:p>
            <w:pPr>
              <w:pStyle w:val="Normal"/>
              <w:snapToGrid w:val="false"/>
              <w:rPr/>
            </w:pPr>
            <w:r>
              <w:rPr/>
            </w:r>
          </w:p>
        </w:tc>
        <w:tc>
          <w:tcPr>
            <w:tcW w:w="1920" w:type="dxa"/>
            <w:tcBorders>
              <w:top w:val="single" w:sz="4" w:space="0" w:color="000000"/>
              <w:start w:val="single" w:sz="4" w:space="0" w:color="000000"/>
              <w:end w:val="single" w:sz="4" w:space="0" w:color="000000"/>
            </w:tcBorders>
          </w:tcPr>
          <w:p>
            <w:pPr>
              <w:pStyle w:val="Normal"/>
              <w:rPr/>
            </w:pPr>
            <w:r>
              <w:rPr/>
              <w:t xml:space="preserve">  </w:t>
            </w:r>
          </w:p>
        </w:tc>
        <w:tc>
          <w:tcPr>
            <w:tcW w:w="1860" w:type="dxa"/>
            <w:tcBorders>
              <w:top w:val="single" w:sz="4" w:space="0" w:color="000000"/>
              <w:start w:val="single" w:sz="4" w:space="0" w:color="000000"/>
              <w:end w:val="single" w:sz="4" w:space="0" w:color="000000"/>
            </w:tcBorders>
          </w:tcPr>
          <w:p>
            <w:pPr>
              <w:pStyle w:val="Normal"/>
              <w:rPr/>
            </w:pPr>
            <w:r>
              <w:rPr/>
              <w:t xml:space="preserve"> </w:t>
            </w:r>
          </w:p>
        </w:tc>
        <w:tc>
          <w:tcPr>
            <w:tcW w:w="1890" w:type="dxa"/>
            <w:tcBorders>
              <w:top w:val="single" w:sz="4" w:space="0" w:color="000000"/>
              <w:start w:val="single" w:sz="4" w:space="0" w:color="000000"/>
              <w:end w:val="double" w:sz="4" w:space="0" w:color="000000"/>
            </w:tcBorders>
          </w:tcPr>
          <w:p>
            <w:pPr>
              <w:pStyle w:val="Normal"/>
              <w:rPr/>
            </w:pPr>
            <w:r>
              <w:rPr/>
              <w:t xml:space="preserve"> </w:t>
            </w:r>
          </w:p>
        </w:tc>
      </w:tr>
      <w:tr>
        <w:trPr>
          <w:trHeight w:val="458" w:hRule="atLeast"/>
        </w:trPr>
        <w:tc>
          <w:tcPr>
            <w:tcW w:w="3705" w:type="dxa"/>
            <w:tcBorders>
              <w:top w:val="single" w:sz="4" w:space="0" w:color="000000"/>
              <w:start w:val="double" w:sz="4" w:space="0" w:color="000000"/>
              <w:end w:val="single" w:sz="4" w:space="0" w:color="000000"/>
            </w:tcBorders>
          </w:tcPr>
          <w:p>
            <w:pPr>
              <w:pStyle w:val="Normal"/>
              <w:snapToGrid w:val="false"/>
              <w:rPr/>
            </w:pPr>
            <w:r>
              <w:rPr/>
            </w:r>
          </w:p>
        </w:tc>
        <w:tc>
          <w:tcPr>
            <w:tcW w:w="1920" w:type="dxa"/>
            <w:tcBorders>
              <w:top w:val="single" w:sz="4" w:space="0" w:color="000000"/>
              <w:start w:val="single" w:sz="4" w:space="0" w:color="000000"/>
              <w:end w:val="single" w:sz="4" w:space="0" w:color="000000"/>
            </w:tcBorders>
          </w:tcPr>
          <w:p>
            <w:pPr>
              <w:pStyle w:val="Normal"/>
              <w:snapToGrid w:val="false"/>
              <w:rPr/>
            </w:pPr>
            <w:r>
              <w:rPr/>
            </w:r>
          </w:p>
        </w:tc>
        <w:tc>
          <w:tcPr>
            <w:tcW w:w="1860" w:type="dxa"/>
            <w:tcBorders>
              <w:top w:val="single" w:sz="4" w:space="0" w:color="000000"/>
              <w:start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end w:val="double" w:sz="4" w:space="0" w:color="000000"/>
            </w:tcBorders>
          </w:tcPr>
          <w:p>
            <w:pPr>
              <w:pStyle w:val="Normal"/>
              <w:snapToGrid w:val="false"/>
              <w:rPr/>
            </w:pPr>
            <w:r>
              <w:rPr/>
            </w:r>
          </w:p>
        </w:tc>
      </w:tr>
      <w:tr>
        <w:trPr>
          <w:trHeight w:val="458" w:hRule="atLeast"/>
        </w:trPr>
        <w:tc>
          <w:tcPr>
            <w:tcW w:w="3705" w:type="dxa"/>
            <w:tcBorders>
              <w:top w:val="single" w:sz="4" w:space="0" w:color="000000"/>
              <w:start w:val="double" w:sz="4" w:space="0" w:color="000000"/>
              <w:end w:val="single" w:sz="4" w:space="0" w:color="000000"/>
            </w:tcBorders>
          </w:tcPr>
          <w:p>
            <w:pPr>
              <w:pStyle w:val="Normal"/>
              <w:snapToGrid w:val="false"/>
              <w:rPr/>
            </w:pPr>
            <w:r>
              <w:rPr/>
            </w:r>
          </w:p>
        </w:tc>
        <w:tc>
          <w:tcPr>
            <w:tcW w:w="1920" w:type="dxa"/>
            <w:tcBorders>
              <w:top w:val="single" w:sz="4" w:space="0" w:color="000000"/>
              <w:start w:val="single" w:sz="4" w:space="0" w:color="000000"/>
              <w:end w:val="single" w:sz="4" w:space="0" w:color="000000"/>
            </w:tcBorders>
          </w:tcPr>
          <w:p>
            <w:pPr>
              <w:pStyle w:val="Normal"/>
              <w:snapToGrid w:val="false"/>
              <w:rPr/>
            </w:pPr>
            <w:r>
              <w:rPr/>
            </w:r>
          </w:p>
        </w:tc>
        <w:tc>
          <w:tcPr>
            <w:tcW w:w="1860" w:type="dxa"/>
            <w:tcBorders>
              <w:top w:val="single" w:sz="4" w:space="0" w:color="000000"/>
              <w:start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end w:val="double" w:sz="4" w:space="0" w:color="000000"/>
            </w:tcBorders>
          </w:tcPr>
          <w:p>
            <w:pPr>
              <w:pStyle w:val="Normal"/>
              <w:snapToGrid w:val="false"/>
              <w:rPr/>
            </w:pPr>
            <w:r>
              <w:rPr/>
            </w:r>
          </w:p>
        </w:tc>
      </w:tr>
      <w:tr>
        <w:trPr>
          <w:trHeight w:val="440" w:hRule="atLeast"/>
        </w:trPr>
        <w:tc>
          <w:tcPr>
            <w:tcW w:w="3705" w:type="dxa"/>
            <w:tcBorders>
              <w:top w:val="single" w:sz="4" w:space="0" w:color="000000"/>
              <w:start w:val="double" w:sz="4" w:space="0" w:color="000000"/>
              <w:bottom w:val="double" w:sz="4" w:space="0" w:color="000000"/>
              <w:end w:val="single" w:sz="4" w:space="0" w:color="000000"/>
            </w:tcBorders>
          </w:tcPr>
          <w:p>
            <w:pPr>
              <w:pStyle w:val="Normal"/>
              <w:snapToGrid w:val="false"/>
              <w:rPr/>
            </w:pPr>
            <w:r>
              <w:rPr/>
            </w:r>
          </w:p>
        </w:tc>
        <w:tc>
          <w:tcPr>
            <w:tcW w:w="1920" w:type="dxa"/>
            <w:tcBorders>
              <w:top w:val="single" w:sz="4" w:space="0" w:color="000000"/>
              <w:start w:val="single" w:sz="4" w:space="0" w:color="000000"/>
              <w:bottom w:val="double" w:sz="4" w:space="0" w:color="000000"/>
              <w:end w:val="single" w:sz="4" w:space="0" w:color="000000"/>
            </w:tcBorders>
          </w:tcPr>
          <w:p>
            <w:pPr>
              <w:pStyle w:val="Normal"/>
              <w:snapToGrid w:val="false"/>
              <w:rPr/>
            </w:pPr>
            <w:r>
              <w:rPr/>
            </w:r>
          </w:p>
        </w:tc>
        <w:tc>
          <w:tcPr>
            <w:tcW w:w="1860" w:type="dxa"/>
            <w:tcBorders>
              <w:top w:val="single" w:sz="4" w:space="0" w:color="000000"/>
              <w:start w:val="single" w:sz="4" w:space="0" w:color="000000"/>
              <w:bottom w:val="doub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double" w:sz="4" w:space="0" w:color="000000"/>
              <w:end w:val="double" w:sz="4" w:space="0" w:color="000000"/>
            </w:tcBorders>
          </w:tcPr>
          <w:p>
            <w:pPr>
              <w:pStyle w:val="Normal"/>
              <w:snapToGrid w:val="false"/>
              <w:rPr/>
            </w:pPr>
            <w:r>
              <w:rPr/>
            </w:r>
          </w:p>
        </w:tc>
      </w:tr>
    </w:tbl>
    <w:p>
      <w:pPr>
        <w:pStyle w:val="Normal"/>
        <w:rPr/>
      </w:pPr>
      <w:r>
        <w:rPr/>
      </w:r>
    </w:p>
    <w:p>
      <w:pPr>
        <w:pStyle w:val="Normal"/>
        <w:rPr/>
      </w:pPr>
      <w:r>
        <w:rPr/>
      </w:r>
    </w:p>
    <w:p>
      <w:pPr>
        <w:pStyle w:val="Normal"/>
        <w:tabs>
          <w:tab w:val="clear" w:pos="720"/>
          <w:tab w:val="left" w:pos="9180" w:leader="none"/>
        </w:tabs>
        <w:ind w:start="4320" w:end="0"/>
        <w:rPr/>
      </w:pPr>
      <w:r>
        <w:rPr/>
        <w:t>Very truly yours,</w:t>
      </w:r>
    </w:p>
    <w:p>
      <w:pPr>
        <w:pStyle w:val="Normal"/>
        <w:tabs>
          <w:tab w:val="clear" w:pos="720"/>
          <w:tab w:val="left" w:pos="9180" w:leader="none"/>
        </w:tabs>
        <w:ind w:start="4320" w:end="0"/>
        <w:rPr/>
      </w:pPr>
      <w:r>
        <w:rPr/>
      </w:r>
    </w:p>
    <w:p>
      <w:pPr>
        <w:pStyle w:val="Normal"/>
        <w:tabs>
          <w:tab w:val="clear" w:pos="720"/>
          <w:tab w:val="left" w:pos="9180" w:leader="none"/>
        </w:tabs>
        <w:ind w:start="4320" w:end="0"/>
        <w:rPr>
          <w:b/>
        </w:rPr>
      </w:pPr>
      <w:r>
        <w:rPr>
          <w:b/>
        </w:rPr>
        <w:t>ENRON POWER MARKETING, INC.</w:t>
      </w:r>
    </w:p>
    <w:p>
      <w:pPr>
        <w:pStyle w:val="Normal"/>
        <w:tabs>
          <w:tab w:val="clear" w:pos="720"/>
          <w:tab w:val="left" w:pos="9180" w:leader="none"/>
        </w:tabs>
        <w:ind w:start="4320" w:end="0"/>
        <w:rPr>
          <w:b/>
        </w:rPr>
      </w:pPr>
      <w:r>
        <w:rPr>
          <w:b/>
        </w:rPr>
      </w:r>
    </w:p>
    <w:p>
      <w:pPr>
        <w:pStyle w:val="Normal"/>
        <w:tabs>
          <w:tab w:val="clear" w:pos="720"/>
          <w:tab w:val="left" w:pos="9180" w:leader="none"/>
        </w:tabs>
        <w:ind w:start="4320" w:end="0"/>
        <w:rPr/>
      </w:pPr>
      <w:r>
        <w:rPr/>
        <w:t xml:space="preserve">By:  </w:t>
      </w:r>
      <w:r>
        <w:rPr>
          <w:u w:val="single"/>
        </w:rPr>
        <w:tab/>
      </w:r>
    </w:p>
    <w:p>
      <w:pPr>
        <w:pStyle w:val="Normal"/>
        <w:tabs>
          <w:tab w:val="clear" w:pos="720"/>
          <w:tab w:val="left" w:pos="9180" w:leader="none"/>
        </w:tabs>
        <w:ind w:start="4320" w:end="0"/>
        <w:rPr/>
      </w:pPr>
      <w:r>
        <w:rPr/>
        <w:t>Name:  Rogers Herndon</w:t>
      </w:r>
    </w:p>
    <w:p>
      <w:pPr>
        <w:pStyle w:val="Normal"/>
        <w:tabs>
          <w:tab w:val="clear" w:pos="720"/>
          <w:tab w:val="left" w:pos="9180" w:leader="none"/>
        </w:tabs>
        <w:ind w:start="4320" w:end="0"/>
        <w:rPr/>
      </w:pPr>
      <w:r>
        <w:rPr/>
        <w:t>Title:  Director</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/mnt/main-storage/datasets/enron-docs/doc/OPA_Notice.doc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center"/>
      <w:outlineLvl w:val="2"/>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2000-06-29T14:12:00Z</dcterms:created>
  <dc:creator>protmp3</dc:creator>
  <dc:description/>
  <dc:language>en-CA</dc:language>
  <cp:lastModifiedBy>William C. Rust</cp:lastModifiedBy>
  <cp:lastPrinted>1999-07-23T10:36:00Z</cp:lastPrinted>
  <dcterms:modified xsi:type="dcterms:W3CDTF">2000-06-29T14:16:00Z</dcterms:modified>
  <cp:revision>3</cp:revision>
  <dc:subject/>
  <dc:title>NOTICE OF POSSIBLE PERMITTED DELIVERY POINT</dc:title>
</cp:coreProperties>
</file>