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ONLINE TRADING SCRIPT</w:t>
      </w:r>
    </w:p>
    <w:p>
      <w:pPr>
        <w:pStyle w:val="Normal"/>
        <w:jc w:val="center"/>
        <w:rPr>
          <w:b/>
          <w:bCs/>
        </w:rPr>
      </w:pPr>
      <w:r>
        <w:rPr>
          <w:b/>
          <w:bCs/>
        </w:rPr>
        <w:t>LEGAL</w:t>
      </w:r>
    </w:p>
    <w:p>
      <w:pPr>
        <w:pStyle w:val="Normal"/>
        <w:rPr>
          <w:b/>
          <w:bCs/>
        </w:rPr>
      </w:pPr>
      <w:r>
        <w:rPr>
          <w:b/>
          <w:bCs/>
        </w:rPr>
      </w:r>
    </w:p>
    <w:p>
      <w:pPr>
        <w:pStyle w:val="Normal"/>
        <w:rPr/>
      </w:pPr>
      <w:r>
        <w:rPr/>
      </w:r>
    </w:p>
    <w:p>
      <w:pPr>
        <w:pStyle w:val="Heading1"/>
        <w:ind w:hanging="0" w:start="0"/>
        <w:rPr/>
      </w:pPr>
      <w:r>
        <w:rPr/>
        <w:t>Role/Function of Legal in the Customer Approval Process</w:t>
      </w:r>
    </w:p>
    <w:p>
      <w:pPr>
        <w:pStyle w:val="Normal"/>
        <w:rPr/>
      </w:pPr>
      <w:r>
        <w:rPr/>
      </w:r>
    </w:p>
    <w:p>
      <w:pPr>
        <w:pStyle w:val="Heading2"/>
        <w:rPr/>
      </w:pPr>
      <w:r>
        <w:rPr/>
        <w:t>Accept/Decline Password Applications and Registration Forms</w:t>
      </w:r>
    </w:p>
    <w:p>
      <w:pPr>
        <w:pStyle w:val="Normal"/>
        <w:ind w:start="400" w:end="0"/>
        <w:rPr/>
      </w:pPr>
      <w:r>
        <w:rPr/>
      </w:r>
    </w:p>
    <w:p>
      <w:pPr>
        <w:pStyle w:val="BodyText"/>
        <w:ind w:start="400" w:end="0"/>
        <w:rPr/>
      </w:pPr>
      <w:r>
        <w:rPr/>
        <w:t>The Legal Department does not generally get involved in acceptance of Password Applications or Registration Forms.  The Legal Department will get involved if a Counterparty will not agree to, or wants to negotiate, the form of Password Application or Electronic Trading Agreement.  All such calls should be forwarded to a member of the Legal Team.</w:t>
      </w:r>
    </w:p>
    <w:p>
      <w:pPr>
        <w:pStyle w:val="Normal"/>
        <w:ind w:start="400" w:end="0"/>
        <w:rPr/>
      </w:pPr>
      <w:r>
        <w:rPr/>
      </w:r>
    </w:p>
    <w:p>
      <w:pPr>
        <w:pStyle w:val="Heading2"/>
        <w:rPr/>
      </w:pPr>
      <w:r>
        <w:rPr/>
        <w:t>Determine Product Profiles</w:t>
      </w:r>
    </w:p>
    <w:p>
      <w:pPr>
        <w:pStyle w:val="Normal"/>
        <w:ind w:start="400" w:end="0"/>
        <w:rPr/>
      </w:pPr>
      <w:r>
        <w:rPr/>
      </w:r>
    </w:p>
    <w:p>
      <w:pPr>
        <w:pStyle w:val="BodyText"/>
        <w:ind w:start="400" w:end="0"/>
        <w:rPr/>
      </w:pPr>
      <w:r>
        <w:rPr/>
        <w:t>Legal will not review a counterparty until it has been approved to trade by Credit.  Credit sends a daily list to Legal and Global Contracts of the approved/declined counterparties (“Approved Counterparties List”).  Upon receipt of the Approved Counterparties List, Legal forwards the list to all the Legal Groups involved in the approval process.  These Legal Groups include Financial Trading, Physical Gas Trading, Emerging Markets, Power Trading, Bandwidth Trading, and the Australian Legal Team.  These Legal Groups have one day from transmittal of the Approved Counterparties List to approve or decline a counterparty for trading each Legal Group’s respective product(s).  Legal will then combine the responses received from the different Legal Groups and send a coordinated response to the Online Team.</w:t>
      </w:r>
    </w:p>
    <w:p>
      <w:pPr>
        <w:pStyle w:val="Normal"/>
        <w:ind w:start="400" w:end="0"/>
        <w:rPr/>
      </w:pPr>
      <w:r>
        <w:rPr/>
      </w:r>
    </w:p>
    <w:p>
      <w:pPr>
        <w:pStyle w:val="Normal"/>
        <w:ind w:start="400" w:end="0"/>
        <w:jc w:val="both"/>
        <w:rPr/>
      </w:pPr>
      <w:r>
        <w:rPr/>
        <w:t>In addition, each time an Approved Counterparties List is received, Legal works with Global Contracts to resolve any contract issues involved with trading a particular product.  These contract issues may include sending out an “override letter” so we can trade under a GTC instead of a master agreement, or it may involve attaching a particular contract to a particular product (i.e., the WPSS Agreement for sales of West Coast power, or using the GTC for East Coast power).</w:t>
      </w:r>
    </w:p>
    <w:p>
      <w:pPr>
        <w:pStyle w:val="Normal"/>
        <w:ind w:start="400" w:end="0"/>
        <w:rPr/>
      </w:pPr>
      <w:r>
        <w:rPr/>
      </w:r>
    </w:p>
    <w:p>
      <w:pPr>
        <w:pStyle w:val="Header"/>
        <w:tabs>
          <w:tab w:val="clear" w:pos="4320"/>
          <w:tab w:val="clear" w:pos="8640"/>
        </w:tabs>
        <w:ind w:start="400" w:end="0"/>
        <w:rPr>
          <w:b/>
          <w:bCs/>
        </w:rPr>
      </w:pPr>
      <w:r>
        <w:rPr>
          <w:b/>
          <w:bCs/>
        </w:rPr>
        <w:t>Amendments to Customer Profiles</w:t>
      </w:r>
    </w:p>
    <w:p>
      <w:pPr>
        <w:pStyle w:val="Normal"/>
        <w:ind w:start="400" w:end="0"/>
        <w:rPr>
          <w:b/>
          <w:bCs/>
        </w:rPr>
      </w:pPr>
      <w:r>
        <w:rPr>
          <w:b/>
          <w:bCs/>
        </w:rPr>
      </w:r>
    </w:p>
    <w:p>
      <w:pPr>
        <w:pStyle w:val="Normal"/>
        <w:ind w:start="400" w:end="0"/>
        <w:jc w:val="both"/>
        <w:rPr/>
      </w:pPr>
      <w:r>
        <w:rPr/>
        <w:t>From time to time Legal will ask Credit to resubmit a counterparty for approval when Legal would like to change the previous approval status for a counterparty.  Legal may resubmit a counterparty for approval if the contract status has changed (a master agreement is now in place where there wasn’t one before), the product approval status is changed (we may have a foreign jurisdiction where we were waiting on legal advice to approve a product and have now received such advice), or for other legal/contract reasons.</w:t>
      </w:r>
    </w:p>
    <w:p>
      <w:pPr>
        <w:pStyle w:val="Normal"/>
        <w:ind w:start="400" w:end="0"/>
        <w:jc w:val="both"/>
        <w:rPr/>
      </w:pPr>
      <w:r>
        <w:rPr/>
      </w:r>
    </w:p>
    <w:p>
      <w:pPr>
        <w:pStyle w:val="Normal"/>
        <w:keepNext w:val="true"/>
        <w:rPr>
          <w:b/>
          <w:bCs/>
        </w:rPr>
      </w:pPr>
      <w:r>
        <w:rPr>
          <w:b/>
          <w:bCs/>
        </w:rPr>
        <w:t>Contractual Framework (how they bind the customer and cover Enron and its affiliates)</w:t>
      </w:r>
    </w:p>
    <w:p>
      <w:pPr>
        <w:pStyle w:val="Normal"/>
        <w:keepNext w:val="true"/>
        <w:ind w:firstLine="400" w:end="0"/>
        <w:rPr>
          <w:b/>
          <w:bCs/>
        </w:rPr>
      </w:pPr>
      <w:r>
        <w:rPr>
          <w:b/>
          <w:bCs/>
        </w:rPr>
      </w:r>
    </w:p>
    <w:p>
      <w:pPr>
        <w:pStyle w:val="Normal"/>
        <w:keepNext w:val="true"/>
        <w:ind w:firstLine="400" w:end="0"/>
        <w:rPr>
          <w:b/>
          <w:bCs/>
        </w:rPr>
      </w:pPr>
      <w:r>
        <w:rPr>
          <w:b/>
          <w:bCs/>
        </w:rPr>
        <w:t>Multiple Enron trading companies</w:t>
      </w:r>
    </w:p>
    <w:p>
      <w:pPr>
        <w:pStyle w:val="BodyTextIndent2"/>
        <w:keepNext w:val="true"/>
        <w:rPr>
          <w:b/>
          <w:bCs/>
        </w:rPr>
      </w:pPr>
      <w:r>
        <w:rPr>
          <w:b/>
          <w:bCs/>
        </w:rPr>
      </w:r>
    </w:p>
    <w:p>
      <w:pPr>
        <w:pStyle w:val="BodyTextIndent2"/>
        <w:keepNext w:val="true"/>
        <w:jc w:val="both"/>
        <w:rPr/>
      </w:pPr>
      <w:r>
        <w:rPr/>
        <w:t xml:space="preserve">Enron trades through multiple companies on the EnronOnline Website.  If you take a look at the Password Application and Electronic Trading Agreement you will see that it applies to “EnronOnline, LLC and its affiliates”.  The affiliates currently trading on the Website include:  </w:t>
      </w:r>
    </w:p>
    <w:p>
      <w:pPr>
        <w:pStyle w:val="Normal"/>
        <w:ind w:firstLine="20" w:start="700" w:end="0"/>
        <w:rPr/>
      </w:pPr>
      <w:r>
        <w:rPr/>
      </w:r>
    </w:p>
    <w:p>
      <w:pPr>
        <w:pStyle w:val="Normal"/>
        <w:ind w:firstLine="20" w:start="700" w:end="0"/>
        <w:rPr/>
      </w:pPr>
      <w:r>
        <w:rPr/>
        <w:t>Enron Australia Finance Pty Limited</w:t>
      </w:r>
    </w:p>
    <w:p>
      <w:pPr>
        <w:pStyle w:val="Normal"/>
        <w:ind w:firstLine="20" w:start="700" w:end="0"/>
        <w:rPr/>
      </w:pPr>
      <w:r>
        <w:rPr/>
        <w:t>Enron Broadband Services, L.P.</w:t>
      </w:r>
    </w:p>
    <w:p>
      <w:pPr>
        <w:pStyle w:val="Normal"/>
        <w:ind w:firstLine="20" w:start="700" w:end="0"/>
        <w:rPr/>
      </w:pPr>
      <w:r>
        <w:rPr/>
        <w:t>Enron Canada Corp.</w:t>
      </w:r>
    </w:p>
    <w:p>
      <w:pPr>
        <w:pStyle w:val="Normal"/>
        <w:ind w:firstLine="20" w:start="700" w:end="0"/>
        <w:rPr/>
      </w:pPr>
      <w:r>
        <w:rPr/>
        <w:t>Enron Capital &amp; Trade Resources International Corp.</w:t>
      </w:r>
    </w:p>
    <w:p>
      <w:pPr>
        <w:pStyle w:val="Normal"/>
        <w:ind w:firstLine="20" w:start="700" w:end="0"/>
        <w:rPr/>
      </w:pPr>
      <w:r>
        <w:rPr/>
        <w:t>Enron Capital &amp; Trade Resources International Corp.-Singapore Branch</w:t>
      </w:r>
    </w:p>
    <w:p>
      <w:pPr>
        <w:pStyle w:val="Normal"/>
        <w:ind w:firstLine="20" w:start="700" w:end="0"/>
        <w:rPr/>
      </w:pPr>
      <w:r>
        <w:rPr/>
        <w:t>Enron Capital &amp; Trade Resources Limited</w:t>
      </w:r>
    </w:p>
    <w:p>
      <w:pPr>
        <w:pStyle w:val="Normal"/>
        <w:ind w:firstLine="20" w:start="700" w:end="0"/>
        <w:rPr/>
      </w:pPr>
      <w:r>
        <w:rPr/>
        <w:t>Enron Coal Services Limited</w:t>
      </w:r>
    </w:p>
    <w:p>
      <w:pPr>
        <w:pStyle w:val="Normal"/>
        <w:ind w:firstLine="20" w:start="700" w:end="0"/>
        <w:rPr/>
      </w:pPr>
      <w:r>
        <w:rPr/>
        <w:t>Enron Gas &amp; Petrochemicals Trading Limited</w:t>
      </w:r>
    </w:p>
    <w:p>
      <w:pPr>
        <w:pStyle w:val="Normal"/>
        <w:ind w:firstLine="20" w:start="700" w:end="0"/>
        <w:rPr/>
      </w:pPr>
      <w:r>
        <w:rPr/>
        <w:t>Enron Liquid Fuels, Inc.</w:t>
      </w:r>
    </w:p>
    <w:p>
      <w:pPr>
        <w:pStyle w:val="Normal"/>
        <w:ind w:firstLine="20" w:start="700" w:end="0"/>
        <w:rPr/>
      </w:pPr>
      <w:r>
        <w:rPr/>
        <w:t>Enron North America Corp.</w:t>
      </w:r>
    </w:p>
    <w:p>
      <w:pPr>
        <w:pStyle w:val="Normal"/>
        <w:ind w:firstLine="20" w:start="700" w:end="0"/>
        <w:rPr/>
      </w:pPr>
      <w:r>
        <w:rPr/>
        <w:t>Enron Power Marketing, Inc.</w:t>
      </w:r>
    </w:p>
    <w:p>
      <w:pPr>
        <w:pStyle w:val="Normal"/>
        <w:ind w:firstLine="20" w:start="700" w:end="0"/>
        <w:rPr/>
      </w:pPr>
      <w:r>
        <w:rPr/>
        <w:t>Enron Power Trading Limited</w:t>
      </w:r>
    </w:p>
    <w:p>
      <w:pPr>
        <w:pStyle w:val="Normal"/>
        <w:ind w:firstLine="20" w:start="700" w:end="0"/>
        <w:rPr/>
      </w:pPr>
      <w:r>
        <w:rPr/>
        <w:t>Enron Reserve Acquisition Corp.</w:t>
      </w:r>
    </w:p>
    <w:p>
      <w:pPr>
        <w:pStyle w:val="Normal"/>
        <w:ind w:firstLine="20" w:start="700" w:end="0"/>
        <w:rPr/>
      </w:pPr>
      <w:r>
        <w:rPr/>
        <w:t>Houston Pipe Line Company</w:t>
      </w:r>
    </w:p>
    <w:p>
      <w:pPr>
        <w:pStyle w:val="Normal"/>
        <w:ind w:firstLine="20" w:start="700" w:end="0"/>
        <w:rPr/>
      </w:pPr>
      <w:r>
        <w:rPr/>
        <w:t>Enron Gas Liquids, Inc.</w:t>
      </w:r>
    </w:p>
    <w:p>
      <w:pPr>
        <w:pStyle w:val="Normal"/>
        <w:ind w:firstLine="20" w:start="700" w:end="0"/>
        <w:rPr/>
      </w:pPr>
      <w:r>
        <w:rPr/>
      </w:r>
    </w:p>
    <w:p>
      <w:pPr>
        <w:pStyle w:val="Heading2"/>
        <w:rPr/>
      </w:pPr>
      <w:r>
        <w:rPr/>
        <w:t>Long and Short Descriptions</w:t>
      </w:r>
    </w:p>
    <w:p>
      <w:pPr>
        <w:pStyle w:val="Normal"/>
        <w:ind w:start="400" w:end="0"/>
        <w:rPr/>
      </w:pPr>
      <w:r>
        <w:rPr/>
      </w:r>
    </w:p>
    <w:p>
      <w:pPr>
        <w:pStyle w:val="Normal"/>
        <w:ind w:start="400" w:end="0"/>
        <w:jc w:val="both"/>
        <w:rPr/>
      </w:pPr>
      <w:r>
        <w:rPr/>
        <w:t>The Legal Department assists the traders and Online Team in writing the long and short descriptions of the products being traded.  The Long Description contains the specific term and conditions of the product being traded.  These terms may include ____________________________________________________________________________________________________________________________________________.  The Short Description is __________________________________________________.</w:t>
      </w:r>
    </w:p>
    <w:p>
      <w:pPr>
        <w:pStyle w:val="Normal"/>
        <w:ind w:start="400" w:end="0"/>
        <w:rPr/>
      </w:pPr>
      <w:r>
        <w:rPr/>
      </w:r>
    </w:p>
    <w:p>
      <w:pPr>
        <w:pStyle w:val="Heading3"/>
        <w:rPr/>
      </w:pPr>
      <w:r>
        <w:rPr/>
        <w:t>Password Application</w:t>
      </w:r>
    </w:p>
    <w:p>
      <w:pPr>
        <w:pStyle w:val="BodyTextIndent"/>
        <w:ind w:start="700" w:end="0"/>
        <w:jc w:val="both"/>
        <w:rPr/>
      </w:pPr>
      <w:r>
        <w:rPr/>
      </w:r>
    </w:p>
    <w:p>
      <w:pPr>
        <w:pStyle w:val="BodyTextIndent"/>
        <w:ind w:start="700" w:end="0"/>
        <w:jc w:val="both"/>
        <w:rPr/>
      </w:pPr>
      <w:r>
        <w:rPr/>
        <w:t xml:space="preserve">The Password Application is the only document the Counterparty will execute prior to trading with Enron.  Among other provisions, the Password Application provides (1) that </w:t>
      </w:r>
      <w:r>
        <w:rPr>
          <w:i/>
          <w:iCs/>
        </w:rPr>
        <w:t>it shall be the Counterparty’s sole responsibility</w:t>
      </w:r>
      <w:r>
        <w:rPr/>
        <w:t xml:space="preserve"> for controlling and monitoring the use and access of its Password and any Transactions that may be entered into on the Website, and (2) that the use of the Website will be governed by the Password Application and the Electronic Trading Agreement.</w:t>
      </w:r>
    </w:p>
    <w:p>
      <w:pPr>
        <w:pStyle w:val="BodyTextIndent"/>
        <w:ind w:start="700" w:end="0"/>
        <w:jc w:val="both"/>
        <w:rPr/>
      </w:pPr>
      <w:r>
        <w:rPr/>
      </w:r>
    </w:p>
    <w:p>
      <w:pPr>
        <w:pStyle w:val="Heading2"/>
        <w:rPr/>
      </w:pPr>
      <w:r>
        <w:rPr/>
        <w:t>Customer Registration Forms</w:t>
      </w:r>
    </w:p>
    <w:p>
      <w:pPr>
        <w:pStyle w:val="Normal"/>
        <w:ind w:start="700" w:end="0"/>
        <w:jc w:val="both"/>
        <w:rPr/>
      </w:pPr>
      <w:r>
        <w:rPr/>
      </w:r>
    </w:p>
    <w:p>
      <w:pPr>
        <w:pStyle w:val="BodyTextIndent3"/>
        <w:rPr/>
      </w:pPr>
      <w:r>
        <w:rPr/>
        <w:t>In order to gain entry to the EnronOnline Website, a Counterparty must first submit a Registration Form.  The information provided in this form will give us the initial information necessary to open the Counterparty in Global Contracts and/or to enable Credit to review and approve (or decline) the Counterparty for trading.  It includes the name, address, phone and facsimile numbers for the Counterparty, the Country for trading (if different from the address), reflects the type of company (i.e.:  marketer/trader, producer, utility, municipality, etc.), and whether the Counterparty or its parent is listed on a recognized exchange, or if not, the name and telephone number of a credit contact.  It also contains the contact information for the master user for the Counterparty.</w:t>
      </w:r>
    </w:p>
    <w:p>
      <w:pPr>
        <w:pStyle w:val="Normal"/>
        <w:ind w:start="700" w:end="0"/>
        <w:rPr/>
      </w:pPr>
      <w:r>
        <w:rPr/>
      </w:r>
    </w:p>
    <w:p>
      <w:pPr>
        <w:pStyle w:val="Normal"/>
        <w:ind w:start="400" w:end="0"/>
        <w:rPr>
          <w:b/>
          <w:bCs/>
        </w:rPr>
      </w:pPr>
      <w:r>
        <w:rPr>
          <w:b/>
          <w:bCs/>
        </w:rPr>
        <w:t>Electronic Trading Agreement (“ETA”)</w:t>
      </w:r>
    </w:p>
    <w:p>
      <w:pPr>
        <w:pStyle w:val="BodyTextIndent3"/>
        <w:rPr>
          <w:b/>
          <w:bCs/>
        </w:rPr>
      </w:pPr>
      <w:r>
        <w:rPr>
          <w:b/>
          <w:bCs/>
        </w:rPr>
      </w:r>
    </w:p>
    <w:p>
      <w:pPr>
        <w:pStyle w:val="BodyTextIndent3"/>
        <w:rPr/>
      </w:pPr>
      <w:r>
        <w:rPr/>
        <w:t>After executing the Password Application and receiving approval to trade, the first time a Counterparty tries to execute a trade on the Website, it will be asked to agree to the ETA by clicking on the designated space.  After this initial approval, the customer will not have to reclick to approve the ETA again.</w:t>
      </w:r>
    </w:p>
    <w:p>
      <w:pPr>
        <w:pStyle w:val="BodyTextIndent"/>
        <w:ind w:start="700" w:end="0"/>
        <w:jc w:val="both"/>
        <w:rPr/>
      </w:pPr>
      <w:r>
        <w:rPr/>
      </w:r>
    </w:p>
    <w:p>
      <w:pPr>
        <w:pStyle w:val="Normal"/>
        <w:jc w:val="both"/>
        <w:rPr/>
      </w:pPr>
      <w:r>
        <w:rPr>
          <w:b/>
          <w:bCs/>
          <w:sz w:val="20"/>
        </w:rPr>
        <w:t>QUESTION:</w:t>
      </w:r>
      <w:r>
        <w:rPr>
          <w:sz w:val="20"/>
        </w:rPr>
        <w:t xml:space="preserve">  Where is the provision that requires you to click on the Electronic Trading Agreement prior to trading on the Website?  ANSWER:  The provision is contained in the second paragraph of the Password Application, in subparagraph (3) which states… </w:t>
      </w:r>
      <w:r>
        <w:rPr>
          <w:i/>
          <w:iCs/>
          <w:sz w:val="20"/>
        </w:rPr>
        <w:t>“Prior to Counterparty’s first execution of Transactions through the Website, it will be required to indicate its agreement to the ETA by “clicking” on the designated spaces and, thereafter, any access and utilization of the Website using any of the Passwords will be governed by the Password Application and the ETA.”</w:t>
      </w:r>
    </w:p>
    <w:p>
      <w:pPr>
        <w:pStyle w:val="Normal"/>
        <w:ind w:start="700" w:end="0"/>
        <w:jc w:val="both"/>
        <w:rPr>
          <w:i/>
          <w:i/>
          <w:iCs/>
          <w:sz w:val="20"/>
        </w:rPr>
      </w:pPr>
      <w:r>
        <w:rPr>
          <w:i/>
          <w:iCs/>
          <w:sz w:val="20"/>
        </w:rPr>
      </w:r>
    </w:p>
    <w:p>
      <w:pPr>
        <w:pStyle w:val="Normal"/>
        <w:ind w:start="700" w:end="0"/>
        <w:jc w:val="both"/>
        <w:rPr/>
      </w:pPr>
      <w:r>
        <w:rPr/>
        <w:t>The Electronic Trading Agreement establishes the legal framework for all trading between the parties on the EnronOnline Website.  Among other terms and conditions contained in the ETA, the ETA provides for the following:</w:t>
      </w:r>
    </w:p>
    <w:p>
      <w:pPr>
        <w:pStyle w:val="Normal"/>
        <w:ind w:start="700" w:end="0"/>
        <w:jc w:val="both"/>
        <w:rPr/>
      </w:pPr>
      <w:r>
        <w:rPr/>
      </w:r>
    </w:p>
    <w:p>
      <w:pPr>
        <w:pStyle w:val="Normal"/>
        <w:ind w:start="1100" w:end="0"/>
        <w:jc w:val="both"/>
        <w:rPr/>
      </w:pPr>
      <w:r>
        <w:rPr/>
        <w:t>Each Transaction entered into on the Website shall be governed by the ETA, the Password Application, the short and long descriptions posted on the Website, any master agreement between the Enron entity trading a product and the Counterparty in respect of a product, and if no master agreement is in place, the General Terms and Conditions in place in respect of such product.</w:t>
      </w:r>
    </w:p>
    <w:p>
      <w:pPr>
        <w:pStyle w:val="Normal"/>
        <w:ind w:start="1100" w:end="0"/>
        <w:jc w:val="both"/>
        <w:rPr/>
      </w:pPr>
      <w:r>
        <w:rPr/>
      </w:r>
    </w:p>
    <w:p>
      <w:pPr>
        <w:pStyle w:val="Normal"/>
        <w:ind w:start="1100" w:end="0"/>
        <w:jc w:val="both"/>
        <w:rPr/>
      </w:pPr>
      <w:r>
        <w:rPr/>
        <w:t>The Counterparty will enter into a Transaction on the Website by means of an offer to buy from, or sell to, Enron (not vice versa).</w:t>
      </w:r>
    </w:p>
    <w:p>
      <w:pPr>
        <w:pStyle w:val="Normal"/>
        <w:ind w:start="1100" w:end="0"/>
        <w:jc w:val="both"/>
        <w:rPr/>
      </w:pPr>
      <w:r>
        <w:rPr/>
      </w:r>
    </w:p>
    <w:p>
      <w:pPr>
        <w:pStyle w:val="Normal"/>
        <w:ind w:start="1100" w:end="0"/>
        <w:jc w:val="both"/>
        <w:rPr/>
      </w:pPr>
      <w:r>
        <w:rPr/>
        <w:t>Enron may accept or reject Counterparty’s offer at its sole discretion.  The Transactions will be deemed to be executed upon Enron’s acceptance of Counterparty’s offer.</w:t>
      </w:r>
    </w:p>
    <w:p>
      <w:pPr>
        <w:pStyle w:val="Normal"/>
        <w:ind w:start="1100" w:end="0"/>
        <w:jc w:val="both"/>
        <w:rPr/>
      </w:pPr>
      <w:r>
        <w:rPr/>
      </w:r>
    </w:p>
    <w:p>
      <w:pPr>
        <w:pStyle w:val="Normal"/>
        <w:ind w:start="1100" w:end="0"/>
        <w:jc w:val="both"/>
        <w:rPr/>
      </w:pPr>
      <w:r>
        <w:rPr/>
        <w:t xml:space="preserve">Enron </w:t>
      </w:r>
      <w:r>
        <w:rPr>
          <w:i/>
          <w:iCs/>
        </w:rPr>
        <w:t>may</w:t>
      </w:r>
      <w:r>
        <w:rPr/>
        <w:t xml:space="preserve"> furnish the Counterparty with a confirmation of each Transaction.</w:t>
      </w:r>
    </w:p>
    <w:p>
      <w:pPr>
        <w:pStyle w:val="Normal"/>
        <w:ind w:start="400" w:end="0"/>
        <w:rPr/>
      </w:pPr>
      <w:r>
        <w:rPr/>
      </w:r>
    </w:p>
    <w:p>
      <w:pPr>
        <w:pStyle w:val="Heading2"/>
        <w:rPr/>
      </w:pPr>
      <w:r>
        <w:rPr/>
        <w:t>Auction Trading Agreement</w:t>
      </w:r>
    </w:p>
    <w:p>
      <w:pPr>
        <w:pStyle w:val="Normal"/>
        <w:ind w:start="400" w:end="0"/>
        <w:rPr/>
      </w:pPr>
      <w:r>
        <w:rPr/>
      </w:r>
    </w:p>
    <w:p>
      <w:pPr>
        <w:pStyle w:val="Normal"/>
        <w:ind w:start="400" w:end="0"/>
        <w:jc w:val="both"/>
        <w:rPr/>
      </w:pPr>
      <w:r>
        <w:rPr/>
        <w:t>The Auction Trading Agreement is an agreement that governs any auction trades transacted on the Website (currently the only products being traded in this manner are emissions and certain pipeline transportation transactions).  A Counterparty will still be required to enter into an Electronic Trading Agreement prior to transacting any non-auction products on the Website.</w:t>
      </w:r>
    </w:p>
    <w:p>
      <w:pPr>
        <w:pStyle w:val="Normal"/>
        <w:ind w:start="400" w:end="0"/>
        <w:rPr/>
      </w:pPr>
      <w:r>
        <w:rPr/>
      </w:r>
    </w:p>
    <w:p>
      <w:pPr>
        <w:pStyle w:val="Heading2"/>
        <w:ind w:start="403" w:end="0"/>
        <w:rPr/>
      </w:pPr>
      <w:r>
        <w:rPr/>
        <w:t>General Terms and Conditions</w:t>
      </w:r>
    </w:p>
    <w:p>
      <w:pPr>
        <w:pStyle w:val="Normal"/>
        <w:keepNext w:val="true"/>
        <w:ind w:start="403" w:end="0"/>
        <w:rPr/>
      </w:pPr>
      <w:r>
        <w:rPr/>
      </w:r>
    </w:p>
    <w:p>
      <w:pPr>
        <w:pStyle w:val="Normal"/>
        <w:keepNext w:val="true"/>
        <w:ind w:start="403" w:end="0"/>
        <w:jc w:val="both"/>
        <w:rPr/>
      </w:pPr>
      <w:r>
        <w:rPr/>
        <w:t xml:space="preserve">If a master agreement </w:t>
      </w:r>
      <w:r>
        <w:rPr>
          <w:i/>
          <w:iCs/>
        </w:rPr>
        <w:t>is not</w:t>
      </w:r>
      <w:r>
        <w:rPr/>
        <w:t xml:space="preserve"> in place between a Counterparty and the relevant Enron entity trading a product, the General Terms and Conditions or “GTC” with apply with respect to such Transaction.  The GTC contains the relevant legal and credit terms and conditions applicable to the Transaction.  These terms may include (among other provisions) operational, quantity and delivery information with respect to transactions in a physical commodity, and with respect to physical and financial transactions, bilateral representations and warranties, provisions for payments, default provisions, legal remedies, choice of law, arbitration, and well as other terms and conditions.</w:t>
      </w:r>
    </w:p>
    <w:p>
      <w:pPr>
        <w:pStyle w:val="Normal"/>
        <w:ind w:start="400" w:end="0"/>
        <w:rPr/>
      </w:pPr>
      <w:r>
        <w:rPr/>
      </w:r>
    </w:p>
    <w:p>
      <w:pPr>
        <w:pStyle w:val="Heading1"/>
        <w:ind w:hanging="0" w:start="400" w:end="0"/>
        <w:rPr/>
      </w:pPr>
      <w:r>
        <w:rPr/>
        <w:t>Master Agreements vs. GTC’s</w:t>
      </w:r>
    </w:p>
    <w:p>
      <w:pPr>
        <w:pStyle w:val="Normal"/>
        <w:ind w:start="400" w:end="0"/>
        <w:rPr/>
      </w:pPr>
      <w:r>
        <w:rPr/>
      </w:r>
    </w:p>
    <w:p>
      <w:pPr>
        <w:pStyle w:val="Normal"/>
        <w:ind w:start="400" w:end="0"/>
        <w:jc w:val="both"/>
        <w:rPr/>
      </w:pPr>
      <w:r>
        <w:rPr/>
        <w:t xml:space="preserve">The Electronic Trading Agreement provides that each Transaction executed by Counterparty through the Website shall be subject to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“GTCs”)…then in effect…and published on the Website…”.</w:t>
      </w:r>
    </w:p>
    <w:p>
      <w:pPr>
        <w:pStyle w:val="Normal"/>
        <w:ind w:start="400" w:end="0"/>
        <w:jc w:val="both"/>
        <w:rPr/>
      </w:pPr>
      <w:r>
        <w:rPr/>
      </w:r>
    </w:p>
    <w:p>
      <w:pPr>
        <w:pStyle w:val="Normal"/>
        <w:ind w:start="400" w:end="0"/>
        <w:jc w:val="both"/>
        <w:rPr/>
      </w:pPr>
      <w:r>
        <w:rPr>
          <w:i/>
          <w:iCs/>
        </w:rPr>
        <w:t>Generally</w:t>
      </w:r>
      <w:r>
        <w:rPr/>
        <w:t>, you should assume that if there is a master agreement in place with respect to a product type, the master agreement should govern any transaction for that product type.</w:t>
      </w:r>
    </w:p>
    <w:p>
      <w:pPr>
        <w:pStyle w:val="Normal"/>
        <w:ind w:start="400" w:end="0"/>
        <w:rPr/>
      </w:pPr>
      <w:r>
        <w:rPr/>
      </w:r>
    </w:p>
    <w:p>
      <w:pPr>
        <w:pStyle w:val="Heading2"/>
        <w:rPr/>
      </w:pPr>
      <w:r>
        <w:rPr/>
        <w:t>Product Type Specific</w:t>
      </w:r>
    </w:p>
    <w:p>
      <w:pPr>
        <w:pStyle w:val="Normal"/>
        <w:ind w:start="400" w:end="0"/>
        <w:rPr/>
      </w:pPr>
      <w:r>
        <w:rPr/>
      </w:r>
    </w:p>
    <w:p>
      <w:pPr>
        <w:pStyle w:val="BodyText"/>
        <w:ind w:start="400" w:end="0"/>
        <w:rPr/>
      </w:pPr>
      <w:r>
        <w:rPr/>
        <w:t>What do we mean by a “product type”?  There are two major product “types” or groups, “physical” and “financial” transactions.  Physical transactions are those transactions that are settled with the physical delivery of a commodity from one party to another (molecules move).  Financial transactions are transactions where there will never be a movement of a physical commodity.  Financial transactions will be settled only by means of a net cash payment from one party to the other.</w:t>
      </w:r>
    </w:p>
    <w:p>
      <w:pPr>
        <w:pStyle w:val="Normal"/>
        <w:ind w:start="400" w:end="0"/>
        <w:jc w:val="both"/>
        <w:rPr/>
      </w:pPr>
      <w:r>
        <w:rPr/>
      </w:r>
    </w:p>
    <w:p>
      <w:pPr>
        <w:pStyle w:val="Normal"/>
        <w:ind w:start="400" w:end="0"/>
        <w:jc w:val="both"/>
        <w:rPr/>
      </w:pPr>
      <w:r>
        <w:rPr/>
        <w:t>Different physical products are governed by different types of master agreements.  U.S. natural gas transactions may be governed by a number of agreements including the “Master Spot Agreement” or Master Firm Purchase/Sale Agreement.  Physical electricity agreements may be governed by a Master Power Enabling Agreement, a tariff that governs that area’s power, or some other enabling agreement.</w:t>
      </w:r>
    </w:p>
    <w:p>
      <w:pPr>
        <w:pStyle w:val="Normal"/>
        <w:ind w:start="400" w:end="0"/>
        <w:jc w:val="both"/>
        <w:rPr/>
      </w:pPr>
      <w:r>
        <w:rPr/>
      </w:r>
    </w:p>
    <w:p>
      <w:pPr>
        <w:pStyle w:val="Normal"/>
        <w:ind w:start="400" w:end="0"/>
        <w:jc w:val="both"/>
        <w:rPr/>
      </w:pPr>
      <w:r>
        <w:rPr/>
        <w:t>All financial transactions, whether energy commodity, weather, pulp &amp; paper, plastics or other underlying commodity, will be governed by an ISDA Master Agreement or other form of the Master Agreement in place with the Counterparty.</w:t>
      </w:r>
    </w:p>
    <w:p>
      <w:pPr>
        <w:pStyle w:val="Normal"/>
        <w:ind w:start="400" w:end="0"/>
        <w:rPr/>
      </w:pPr>
      <w:r>
        <w:rPr/>
      </w:r>
    </w:p>
    <w:p>
      <w:pPr>
        <w:pStyle w:val="Heading2"/>
        <w:ind w:start="403" w:end="0"/>
        <w:rPr/>
      </w:pPr>
      <w:r>
        <w:rPr/>
        <w:t>When does the GTC supersede the master?</w:t>
      </w:r>
    </w:p>
    <w:p>
      <w:pPr>
        <w:pStyle w:val="Normal"/>
        <w:keepNext w:val="true"/>
        <w:ind w:start="403" w:end="0"/>
        <w:rPr/>
      </w:pPr>
      <w:r>
        <w:rPr/>
      </w:r>
    </w:p>
    <w:p>
      <w:pPr>
        <w:pStyle w:val="BodyText"/>
        <w:keepNext w:val="true"/>
        <w:ind w:start="403" w:end="0"/>
        <w:rPr/>
      </w:pPr>
      <w:r>
        <w:rPr/>
        <w:t>There are very few circumstances where a GTC will supersede a master agreement.  The limited circumstances when this may occur include transactions where the master agreement is so old, or the legal provisions or credit agreed to are so limiting, that Legal and/or Credit may direct the Global Contract Group to send out an “override letter”, which upon its execution by both parties, will enable the parties to transact under a GTC.</w:t>
      </w:r>
    </w:p>
    <w:p>
      <w:pPr>
        <w:pStyle w:val="Normal"/>
        <w:ind w:start="400" w:end="0"/>
        <w:rPr/>
      </w:pPr>
      <w:r>
        <w:rPr/>
      </w:r>
    </w:p>
    <w:p>
      <w:pPr>
        <w:pStyle w:val="Heading2"/>
        <w:rPr/>
      </w:pPr>
      <w:r>
        <w:rPr/>
        <w:t>When does the master supersede the GTC?</w:t>
      </w:r>
    </w:p>
    <w:p>
      <w:pPr>
        <w:pStyle w:val="Normal"/>
        <w:ind w:start="400" w:end="0"/>
        <w:rPr/>
      </w:pPr>
      <w:r>
        <w:rPr/>
      </w:r>
    </w:p>
    <w:p>
      <w:pPr>
        <w:pStyle w:val="Normal"/>
        <w:ind w:start="400" w:end="0"/>
        <w:jc w:val="both"/>
        <w:rPr/>
      </w:pPr>
      <w:r>
        <w:rPr>
          <w:i/>
          <w:iCs/>
        </w:rPr>
        <w:t>Generally</w:t>
      </w:r>
      <w:r>
        <w:rPr/>
        <w:t>, you should assume that if there is a master agreement in place with respect to a product type, the master agreement will govern.  A circumstance where the master agreement might “supersede” the GTC may involve a situation where we transacted with the Counterparty prior to execution of a master agreement, but upon execution of a master agreement at a later date, all trades then fall under the relevant master agreement.</w:t>
      </w:r>
    </w:p>
    <w:p>
      <w:pPr>
        <w:pStyle w:val="Normal"/>
        <w:ind w:start="400" w:end="0"/>
        <w:rPr/>
      </w:pPr>
      <w:r>
        <w:rPr/>
      </w:r>
    </w:p>
    <w:p>
      <w:pPr>
        <w:pStyle w:val="Normal"/>
        <w:ind w:start="700" w:end="760"/>
        <w:jc w:val="both"/>
        <w:rPr/>
      </w:pPr>
      <w:r>
        <w:rPr>
          <w:b/>
          <w:bCs/>
          <w:sz w:val="20"/>
        </w:rPr>
        <w:t>NOTE WITH RESPECT TO FINANCIAL TRANSACTIONS ONLY:</w:t>
      </w:r>
      <w:r>
        <w:rPr>
          <w:sz w:val="20"/>
        </w:rPr>
        <w:t xml:space="preserve">  Paragraph 3(a) of the ETA provides, with respect to financially-settled transactions only, that a master agreement between Counterparty and either Enron North America (“ENA”) or Enron Canada (“EC”) will govern the relevant Transactions between the Counterparty and ENA or EC.</w:t>
      </w:r>
    </w:p>
    <w:p>
      <w:pPr>
        <w:pStyle w:val="Normal"/>
        <w:ind w:start="400" w:end="0"/>
        <w:rPr/>
      </w:pPr>
      <w:r>
        <w:rPr/>
      </w:r>
    </w:p>
    <w:p>
      <w:pPr>
        <w:pStyle w:val="Heading1"/>
        <w:ind w:hanging="0" w:start="400" w:end="0"/>
        <w:rPr/>
      </w:pPr>
      <w:r>
        <w:rPr/>
        <w:t>Jurisdictional Aspects</w:t>
      </w:r>
    </w:p>
    <w:p>
      <w:pPr>
        <w:pStyle w:val="Normal"/>
        <w:rPr/>
      </w:pPr>
      <w:r>
        <w:rPr/>
      </w:r>
    </w:p>
    <w:p>
      <w:pPr>
        <w:pStyle w:val="Normal"/>
        <w:ind w:start="400" w:end="0"/>
        <w:rPr/>
      </w:pPr>
      <w:r>
        <w:rPr/>
        <w:t>Country specific PA, ETA</w:t>
      </w:r>
    </w:p>
    <w:p>
      <w:pPr>
        <w:pStyle w:val="Normal"/>
        <w:ind w:start="400" w:end="0"/>
        <w:rPr/>
      </w:pPr>
      <w:r>
        <w:rPr/>
      </w:r>
    </w:p>
    <w:p>
      <w:pPr>
        <w:pStyle w:val="Normal"/>
        <w:ind w:start="400" w:end="0"/>
        <w:jc w:val="both"/>
        <w:rPr/>
      </w:pPr>
      <w:r>
        <w:rPr/>
        <w:t>Enron North America and Enron Europe transact business online under different forms of Password Applications (in Europe called the “Internet Trading Access Agreement”), Electronic Trading Agreements and GTC’s.  Generally, Enron North America’s online documentation is governed by New York law, while Enron Europe’s online documentation is governed the U.K. law.  The different requirements of these legal jurisdictions necessitate different provisions in each jurisdiction’s documentation, although fundamentally, the processes and procedures remain the same from country to country.</w:t>
      </w:r>
    </w:p>
    <w:p>
      <w:pPr>
        <w:pStyle w:val="Normal"/>
        <w:ind w:start="400" w:end="0"/>
        <w:rPr/>
      </w:pPr>
      <w:r>
        <w:rPr/>
      </w:r>
    </w:p>
    <w:p>
      <w:pPr>
        <w:pStyle w:val="Normal"/>
        <w:ind w:start="400" w:end="0"/>
        <w:rPr/>
      </w:pPr>
      <w:r>
        <w:rPr/>
        <w:t>Rationale behind it</w:t>
      </w:r>
    </w:p>
    <w:p>
      <w:pPr>
        <w:pStyle w:val="Normal"/>
        <w:ind w:start="400" w:end="0"/>
        <w:rPr/>
      </w:pPr>
      <w:r>
        <w:rPr/>
      </w:r>
    </w:p>
    <w:p>
      <w:pPr>
        <w:pStyle w:val="Normal"/>
        <w:ind w:start="400" w:end="0"/>
        <w:rPr/>
      </w:pPr>
      <w:r>
        <w:rPr/>
        <w:t>In order to trade the online products around the world, legal surveys were conducted in all the countries EnronOnline intended to transact business.  The responses received from these different legal jurisdictions directed the ability and manner in which we conduct business in each of the relevant countries.</w:t>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400" w:end="0"/>
      <w:outlineLvl w:val="1"/>
    </w:pPr>
    <w:rPr>
      <w:b/>
      <w:bCs/>
    </w:rPr>
  </w:style>
  <w:style w:type="paragraph" w:styleId="Heading3">
    <w:name w:val="heading 3"/>
    <w:basedOn w:val="Normal"/>
    <w:next w:val="Normal"/>
    <w:qFormat/>
    <w:pPr>
      <w:keepNext w:val="true"/>
      <w:numPr>
        <w:ilvl w:val="2"/>
        <w:numId w:val="1"/>
      </w:numPr>
      <w:ind w:firstLine="400" w:start="0" w:end="0"/>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00" w:end="0"/>
    </w:pPr>
    <w:rPr/>
  </w:style>
  <w:style w:type="paragraph" w:styleId="BodyTextIndent2">
    <w:name w:val="Body Text Indent 2"/>
    <w:basedOn w:val="Normal"/>
    <w:qFormat/>
    <w:pPr>
      <w:ind w:firstLine="20" w:start="700" w:end="0"/>
    </w:pPr>
    <w:rPr/>
  </w:style>
  <w:style w:type="paragraph" w:styleId="BodyTextIndent3">
    <w:name w:val="Body Text Indent 3"/>
    <w:basedOn w:val="Normal"/>
    <w:qFormat/>
    <w:pPr>
      <w:ind w:hanging="0" w:start="70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2000-06-26T10:50:00Z</dcterms:created>
  <dc:creator>tjones</dc:creator>
  <dc:description/>
  <dc:language>en-CA</dc:language>
  <cp:lastModifiedBy>tjones</cp:lastModifiedBy>
  <dcterms:modified xsi:type="dcterms:W3CDTF">2000-06-27T11:54:00Z</dcterms:modified>
  <cp:revision>54</cp:revision>
  <dc:subject/>
  <dc:title>ONLINE TRADING SCRIPT</dc:title>
</cp:coreProperties>
</file>